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before="139" w:line="225" w:lineRule="auto"/>
        <w:ind w:left="2230"/>
        <w:outlineLvl w:val="0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pacing w:val="4"/>
          <w:sz w:val="43"/>
          <w:szCs w:val="43"/>
        </w:rPr>
        <w:t>内蒙古自治区根河市</w:t>
      </w:r>
    </w:p>
    <w:p>
      <w:pPr>
        <w:spacing w:before="255" w:line="225" w:lineRule="auto"/>
        <w:ind w:left="469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pacing w:val="6"/>
          <w:sz w:val="43"/>
          <w:szCs w:val="43"/>
        </w:rPr>
        <w:t>国家生态文明建设示范市规划（修编）</w:t>
      </w:r>
    </w:p>
    <w:p>
      <w:pPr>
        <w:spacing w:before="256" w:line="227" w:lineRule="auto"/>
        <w:ind w:left="2548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z w:val="43"/>
          <w:szCs w:val="43"/>
        </w:rPr>
        <w:t>（</w:t>
      </w:r>
      <w:r>
        <w:rPr>
          <w:rFonts w:ascii="Times New Roman" w:hAnsi="Times New Roman" w:eastAsia="Times New Roman" w:cs="Times New Roman"/>
          <w:sz w:val="43"/>
          <w:szCs w:val="43"/>
        </w:rPr>
        <w:t xml:space="preserve">2023-2035 </w:t>
      </w:r>
      <w:r>
        <w:rPr>
          <w:rFonts w:ascii="黑体" w:hAnsi="黑体" w:eastAsia="黑体" w:cs="黑体"/>
          <w:sz w:val="43"/>
          <w:szCs w:val="43"/>
        </w:rPr>
        <w:t>年）</w:t>
      </w: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before="98" w:line="366" w:lineRule="auto"/>
        <w:ind w:left="3141" w:right="2212" w:hanging="87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-7"/>
          <w:sz w:val="30"/>
          <w:szCs w:val="30"/>
        </w:rPr>
        <w:t>内蒙古自治区根河市人民政府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-7"/>
          <w:sz w:val="30"/>
          <w:szCs w:val="30"/>
        </w:rPr>
        <w:t>二零二四年六月</w:t>
      </w:r>
    </w:p>
    <w:p>
      <w:pPr>
        <w:spacing w:line="366" w:lineRule="auto"/>
        <w:rPr>
          <w:rFonts w:ascii="仿宋" w:hAnsi="仿宋" w:eastAsia="仿宋" w:cs="仿宋"/>
          <w:sz w:val="30"/>
          <w:szCs w:val="30"/>
        </w:rPr>
        <w:sectPr>
          <w:headerReference r:id="rId5" w:type="default"/>
          <w:footerReference r:id="rId6" w:type="default"/>
          <w:pgSz w:w="11906" w:h="16839"/>
          <w:pgMar w:top="400" w:right="1785" w:bottom="400" w:left="1785" w:header="0" w:footer="0" w:gutter="0"/>
          <w:cols w:space="720" w:num="1"/>
        </w:sectPr>
      </w:pPr>
    </w:p>
    <w:p>
      <w:pPr>
        <w:spacing w:line="447" w:lineRule="auto"/>
        <w:rPr>
          <w:rFonts w:ascii="Arial"/>
          <w:sz w:val="21"/>
        </w:rPr>
      </w:pPr>
    </w:p>
    <w:p>
      <w:pPr>
        <w:spacing w:before="113" w:line="228" w:lineRule="auto"/>
        <w:ind w:left="3731"/>
        <w:outlineLvl w:val="1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spacing w:val="-3"/>
          <w:sz w:val="35"/>
          <w:szCs w:val="35"/>
        </w:rPr>
        <w:t>前</w:t>
      </w:r>
      <w:r>
        <w:rPr>
          <w:rFonts w:ascii="黑体" w:hAnsi="黑体" w:eastAsia="黑体" w:cs="黑体"/>
          <w:spacing w:val="34"/>
          <w:sz w:val="35"/>
          <w:szCs w:val="35"/>
        </w:rPr>
        <w:t xml:space="preserve"> </w:t>
      </w:r>
      <w:r>
        <w:rPr>
          <w:rFonts w:ascii="黑体" w:hAnsi="黑体" w:eastAsia="黑体" w:cs="黑体"/>
          <w:spacing w:val="-3"/>
          <w:sz w:val="35"/>
          <w:szCs w:val="35"/>
        </w:rPr>
        <w:t>言</w:t>
      </w:r>
    </w:p>
    <w:p>
      <w:pPr>
        <w:spacing w:line="304" w:lineRule="auto"/>
        <w:rPr>
          <w:rFonts w:ascii="Arial"/>
          <w:sz w:val="21"/>
        </w:rPr>
      </w:pPr>
    </w:p>
    <w:p>
      <w:pPr>
        <w:pStyle w:val="2"/>
        <w:spacing w:before="101" w:line="368" w:lineRule="auto"/>
        <w:ind w:left="30" w:firstLine="633"/>
      </w:pPr>
      <w:r>
        <w:rPr>
          <w:spacing w:val="7"/>
        </w:rPr>
        <w:t>根河，是蒙古语“葛根高勒”</w:t>
      </w:r>
      <w:r>
        <w:rPr>
          <w:spacing w:val="-110"/>
        </w:rPr>
        <w:t xml:space="preserve"> </w:t>
      </w:r>
      <w:r>
        <w:rPr>
          <w:spacing w:val="7"/>
        </w:rPr>
        <w:t>的谐音，意为“清澈透明</w:t>
      </w:r>
      <w:r>
        <w:t xml:space="preserve">   </w:t>
      </w:r>
      <w:r>
        <w:rPr>
          <w:spacing w:val="4"/>
        </w:rPr>
        <w:t>的河”。根河市地处祖国东北边疆大兴安岭林区北段西北</w:t>
      </w:r>
      <w:r>
        <w:rPr>
          <w:spacing w:val="3"/>
        </w:rPr>
        <w:t>坡、</w:t>
      </w:r>
      <w:r>
        <w:t xml:space="preserve"> </w:t>
      </w:r>
      <w:r>
        <w:rPr>
          <w:spacing w:val="8"/>
        </w:rPr>
        <w:t>内蒙古自治区北部，属呼伦贝尔市的县级市，地理坐标东经</w:t>
      </w:r>
      <w:r>
        <w:rPr>
          <w:spacing w:val="6"/>
        </w:rPr>
        <w:t xml:space="preserve">   </w:t>
      </w:r>
      <w:r>
        <w:rPr>
          <w:rFonts w:ascii="Times New Roman" w:hAnsi="Times New Roman" w:eastAsia="Times New Roman" w:cs="Times New Roman"/>
          <w:spacing w:val="3"/>
        </w:rPr>
        <w:t>120</w:t>
      </w:r>
      <w:r>
        <w:rPr>
          <w:spacing w:val="3"/>
        </w:rPr>
        <w:t>°</w:t>
      </w:r>
      <w:r>
        <w:rPr>
          <w:spacing w:val="-118"/>
        </w:rPr>
        <w:t xml:space="preserve"> </w:t>
      </w:r>
      <w:r>
        <w:rPr>
          <w:rFonts w:ascii="Times New Roman" w:hAnsi="Times New Roman" w:eastAsia="Times New Roman" w:cs="Times New Roman"/>
          <w:spacing w:val="3"/>
        </w:rPr>
        <w:t>12'</w:t>
      </w:r>
      <w:r>
        <w:rPr>
          <w:spacing w:val="3"/>
        </w:rPr>
        <w:t>～</w:t>
      </w:r>
      <w:r>
        <w:rPr>
          <w:rFonts w:ascii="Times New Roman" w:hAnsi="Times New Roman" w:eastAsia="Times New Roman" w:cs="Times New Roman"/>
          <w:spacing w:val="3"/>
        </w:rPr>
        <w:t>122</w:t>
      </w:r>
      <w:r>
        <w:rPr>
          <w:spacing w:val="3"/>
        </w:rPr>
        <w:t>°</w:t>
      </w:r>
      <w:r>
        <w:rPr>
          <w:rFonts w:ascii="Times New Roman" w:hAnsi="Times New Roman" w:eastAsia="Times New Roman" w:cs="Times New Roman"/>
          <w:spacing w:val="3"/>
        </w:rPr>
        <w:t>55'</w:t>
      </w:r>
      <w:r>
        <w:rPr>
          <w:rFonts w:ascii="Times New Roman" w:hAnsi="Times New Roman" w:eastAsia="Times New Roman" w:cs="Times New Roman"/>
          <w:spacing w:val="-33"/>
        </w:rPr>
        <w:t xml:space="preserve"> </w:t>
      </w:r>
      <w:r>
        <w:rPr>
          <w:spacing w:val="3"/>
        </w:rPr>
        <w:t>，北纬</w:t>
      </w:r>
      <w:r>
        <w:rPr>
          <w:spacing w:val="-58"/>
        </w:rPr>
        <w:t xml:space="preserve"> </w:t>
      </w:r>
      <w:r>
        <w:rPr>
          <w:rFonts w:ascii="Times New Roman" w:hAnsi="Times New Roman" w:eastAsia="Times New Roman" w:cs="Times New Roman"/>
          <w:spacing w:val="3"/>
        </w:rPr>
        <w:t>5</w:t>
      </w:r>
      <w:r>
        <w:rPr>
          <w:rFonts w:ascii="Times New Roman" w:hAnsi="Times New Roman" w:eastAsia="Times New Roman" w:cs="Times New Roman"/>
          <w:spacing w:val="2"/>
        </w:rPr>
        <w:t>0</w:t>
      </w:r>
      <w:r>
        <w:rPr>
          <w:spacing w:val="2"/>
        </w:rPr>
        <w:t>°</w:t>
      </w:r>
      <w:r>
        <w:rPr>
          <w:rFonts w:ascii="Times New Roman" w:hAnsi="Times New Roman" w:eastAsia="Times New Roman" w:cs="Times New Roman"/>
          <w:spacing w:val="2"/>
        </w:rPr>
        <w:t>22'</w:t>
      </w:r>
      <w:r>
        <w:rPr>
          <w:spacing w:val="2"/>
        </w:rPr>
        <w:t>～</w:t>
      </w:r>
      <w:r>
        <w:rPr>
          <w:rFonts w:ascii="Times New Roman" w:hAnsi="Times New Roman" w:eastAsia="Times New Roman" w:cs="Times New Roman"/>
          <w:spacing w:val="2"/>
        </w:rPr>
        <w:t>52</w:t>
      </w:r>
      <w:r>
        <w:rPr>
          <w:spacing w:val="2"/>
        </w:rPr>
        <w:t>°</w:t>
      </w:r>
      <w:r>
        <w:rPr>
          <w:rFonts w:ascii="Times New Roman" w:hAnsi="Times New Roman" w:eastAsia="Times New Roman" w:cs="Times New Roman"/>
          <w:spacing w:val="2"/>
        </w:rPr>
        <w:t>30'</w:t>
      </w:r>
      <w:r>
        <w:rPr>
          <w:rFonts w:ascii="Times New Roman" w:hAnsi="Times New Roman" w:eastAsia="Times New Roman" w:cs="Times New Roman"/>
          <w:spacing w:val="-36"/>
        </w:rPr>
        <w:t xml:space="preserve"> </w:t>
      </w:r>
      <w:r>
        <w:rPr>
          <w:spacing w:val="2"/>
        </w:rPr>
        <w:t>，是中国纬度最</w:t>
      </w:r>
      <w:r>
        <w:t xml:space="preserve">   </w:t>
      </w:r>
      <w:r>
        <w:rPr>
          <w:spacing w:val="8"/>
        </w:rPr>
        <w:t>高的城市之一，是大兴安岭森林生态功能区的重要组成部分，</w:t>
      </w:r>
      <w:r>
        <w:rPr>
          <w:spacing w:val="16"/>
        </w:rPr>
        <w:t xml:space="preserve"> </w:t>
      </w:r>
      <w:r>
        <w:rPr>
          <w:spacing w:val="8"/>
        </w:rPr>
        <w:t>也是呼伦贝尔大草原、东北平原乃至东北亚地区的重要生态</w:t>
      </w:r>
      <w:r>
        <w:rPr>
          <w:spacing w:val="6"/>
        </w:rPr>
        <w:t xml:space="preserve">   </w:t>
      </w:r>
      <w:r>
        <w:rPr>
          <w:spacing w:val="8"/>
        </w:rPr>
        <w:t>屏障，是国家“两屏三带”生态安全战略格局、“三区四带”</w:t>
      </w:r>
      <w:r>
        <w:rPr>
          <w:spacing w:val="16"/>
        </w:rPr>
        <w:t xml:space="preserve"> </w:t>
      </w:r>
      <w:r>
        <w:rPr>
          <w:spacing w:val="7"/>
        </w:rPr>
        <w:t>生态系统保护修复战略格局和自治区“</w:t>
      </w:r>
      <w:r>
        <w:rPr>
          <w:spacing w:val="-109"/>
        </w:rPr>
        <w:t xml:space="preserve"> </w:t>
      </w:r>
      <w:r>
        <w:rPr>
          <w:spacing w:val="7"/>
        </w:rPr>
        <w:t>三山两带一弯多廊多</w:t>
      </w:r>
      <w:r>
        <w:t xml:space="preserve">   </w:t>
      </w:r>
      <w:r>
        <w:rPr>
          <w:spacing w:val="8"/>
        </w:rPr>
        <w:t>点”生态安全格局的重要组成部分，承担着筑牢北方祖国北</w:t>
      </w:r>
      <w:r>
        <w:rPr>
          <w:spacing w:val="6"/>
        </w:rPr>
        <w:t xml:space="preserve">   </w:t>
      </w:r>
      <w:r>
        <w:rPr>
          <w:spacing w:val="8"/>
        </w:rPr>
        <w:t>方生态安全屏障，维护国家生态安全的重大使命。</w:t>
      </w:r>
    </w:p>
    <w:p>
      <w:pPr>
        <w:pStyle w:val="2"/>
        <w:spacing w:before="59" w:line="368" w:lineRule="auto"/>
        <w:ind w:left="23" w:right="313" w:firstLine="639"/>
      </w:pPr>
      <w:r>
        <w:rPr>
          <w:spacing w:val="23"/>
        </w:rPr>
        <w:t>根河市始终把守护好祖国北疆这片绿色林海</w:t>
      </w:r>
      <w:r>
        <w:rPr>
          <w:spacing w:val="22"/>
        </w:rPr>
        <w:t>作为最重</w:t>
      </w:r>
      <w:r>
        <w:t xml:space="preserve"> </w:t>
      </w:r>
      <w:r>
        <w:rPr>
          <w:spacing w:val="7"/>
        </w:rPr>
        <w:t>要的工作任务，“十三五”</w:t>
      </w:r>
      <w:r>
        <w:rPr>
          <w:spacing w:val="-104"/>
        </w:rPr>
        <w:t xml:space="preserve"> </w:t>
      </w:r>
      <w:r>
        <w:rPr>
          <w:spacing w:val="7"/>
        </w:rPr>
        <w:t>以来，紧紧围绕全面建成小康社</w:t>
      </w:r>
      <w:r>
        <w:t xml:space="preserve"> </w:t>
      </w:r>
      <w:r>
        <w:rPr>
          <w:spacing w:val="9"/>
        </w:rPr>
        <w:t>会宏伟目标，坚定不移走以生态优先、绿色发展为导向的高</w:t>
      </w:r>
      <w:r>
        <w:rPr>
          <w:spacing w:val="1"/>
        </w:rPr>
        <w:t xml:space="preserve"> </w:t>
      </w:r>
      <w:r>
        <w:rPr>
          <w:spacing w:val="9"/>
        </w:rPr>
        <w:t>质量发展新路子，主动适应经济发展新常态，坚持稳中求进</w:t>
      </w:r>
      <w:r>
        <w:rPr>
          <w:spacing w:val="1"/>
        </w:rPr>
        <w:t xml:space="preserve"> </w:t>
      </w:r>
      <w:r>
        <w:rPr>
          <w:spacing w:val="4"/>
        </w:rPr>
        <w:t>工作总基调，坚持五大发展理念，紧紧围绕“</w:t>
      </w:r>
      <w:r>
        <w:rPr>
          <w:spacing w:val="-94"/>
        </w:rPr>
        <w:t xml:space="preserve"> </w:t>
      </w:r>
      <w:r>
        <w:rPr>
          <w:spacing w:val="4"/>
        </w:rPr>
        <w:t>富民强市”</w:t>
      </w:r>
      <w:r>
        <w:rPr>
          <w:spacing w:val="-88"/>
        </w:rPr>
        <w:t xml:space="preserve"> </w:t>
      </w:r>
      <w:r>
        <w:rPr>
          <w:spacing w:val="4"/>
        </w:rPr>
        <w:t>目</w:t>
      </w:r>
      <w:r>
        <w:t xml:space="preserve"> </w:t>
      </w:r>
      <w:r>
        <w:rPr>
          <w:spacing w:val="9"/>
        </w:rPr>
        <w:t>标，把握“打基础、谋发展、寻突破”原则，经济发展</w:t>
      </w:r>
      <w:r>
        <w:rPr>
          <w:spacing w:val="8"/>
        </w:rPr>
        <w:t>稳中</w:t>
      </w:r>
      <w:r>
        <w:t xml:space="preserve"> </w:t>
      </w:r>
      <w:r>
        <w:rPr>
          <w:spacing w:val="-3"/>
        </w:rPr>
        <w:t>有进，综合经济实力不断壮大，各项社会事业加快发展，“三</w:t>
      </w:r>
      <w:r>
        <w:rPr>
          <w:spacing w:val="3"/>
        </w:rPr>
        <w:t xml:space="preserve"> </w:t>
      </w:r>
      <w:r>
        <w:rPr>
          <w:spacing w:val="9"/>
        </w:rPr>
        <w:t>大攻坚战”成效显著，人民群众幸福指数持续攀升，成</w:t>
      </w:r>
      <w:r>
        <w:rPr>
          <w:spacing w:val="8"/>
        </w:rPr>
        <w:t>为呼</w:t>
      </w:r>
      <w:r>
        <w:t xml:space="preserve"> </w:t>
      </w:r>
      <w:r>
        <w:rPr>
          <w:spacing w:val="4"/>
        </w:rPr>
        <w:t>伦贝尔市生态文明建设中的“先锋标兵”</w:t>
      </w:r>
      <w:r>
        <w:rPr>
          <w:spacing w:val="-103"/>
        </w:rPr>
        <w:t xml:space="preserve"> </w:t>
      </w:r>
      <w:r>
        <w:rPr>
          <w:spacing w:val="4"/>
        </w:rPr>
        <w:t>，</w:t>
      </w:r>
      <w:r>
        <w:rPr>
          <w:spacing w:val="-79"/>
        </w:rPr>
        <w:t xml:space="preserve"> </w:t>
      </w:r>
      <w:r>
        <w:rPr>
          <w:spacing w:val="4"/>
        </w:rPr>
        <w:t>良好的生态环境</w:t>
      </w:r>
      <w:r>
        <w:t xml:space="preserve"> </w:t>
      </w:r>
      <w:r>
        <w:rPr>
          <w:spacing w:val="8"/>
        </w:rPr>
        <w:t>成为根河市的“头号招牌”。</w:t>
      </w:r>
    </w:p>
    <w:p>
      <w:pPr>
        <w:spacing w:line="368" w:lineRule="auto"/>
        <w:sectPr>
          <w:headerReference r:id="rId7" w:type="default"/>
          <w:pgSz w:w="11906" w:h="16839"/>
          <w:pgMar w:top="1191" w:right="1486" w:bottom="400" w:left="1785" w:header="882" w:footer="0" w:gutter="0"/>
          <w:cols w:space="720" w:num="1"/>
        </w:sectPr>
      </w:pPr>
    </w:p>
    <w:p>
      <w:pPr>
        <w:spacing w:line="301" w:lineRule="auto"/>
        <w:rPr>
          <w:rFonts w:ascii="Arial"/>
          <w:sz w:val="21"/>
        </w:rPr>
      </w:pPr>
    </w:p>
    <w:p>
      <w:pPr>
        <w:pStyle w:val="2"/>
        <w:spacing w:before="101" w:line="355" w:lineRule="auto"/>
        <w:ind w:left="34" w:right="255" w:firstLine="629"/>
      </w:pPr>
      <w:r>
        <w:rPr>
          <w:spacing w:val="9"/>
        </w:rPr>
        <w:t>根河市始终保持加强生态文明建设的战略定力，立足现</w:t>
      </w:r>
      <w:r>
        <w:t xml:space="preserve"> </w:t>
      </w:r>
      <w:r>
        <w:rPr>
          <w:spacing w:val="6"/>
        </w:rPr>
        <w:t>有生态资源，深挖绿水青山潜在价值，培植绿色发展优势，</w:t>
      </w:r>
    </w:p>
    <w:p>
      <w:pPr>
        <w:pStyle w:val="2"/>
        <w:spacing w:before="56" w:line="366" w:lineRule="auto"/>
        <w:ind w:left="21" w:right="8" w:firstLine="1"/>
      </w:pPr>
      <w:r>
        <w:rPr>
          <w:spacing w:val="12"/>
        </w:rPr>
        <w:t>促进生态价值转化，获评</w:t>
      </w:r>
      <w:r>
        <w:rPr>
          <w:spacing w:val="-47"/>
        </w:rPr>
        <w:t xml:space="preserve"> </w:t>
      </w:r>
      <w:r>
        <w:rPr>
          <w:rFonts w:ascii="Times New Roman" w:hAnsi="Times New Roman" w:eastAsia="Times New Roman" w:cs="Times New Roman"/>
          <w:spacing w:val="12"/>
        </w:rPr>
        <w:t>2022</w:t>
      </w:r>
      <w:r>
        <w:rPr>
          <w:rFonts w:ascii="Times New Roman" w:hAnsi="Times New Roman" w:eastAsia="Times New Roman" w:cs="Times New Roman"/>
          <w:spacing w:val="36"/>
          <w:w w:val="101"/>
        </w:rPr>
        <w:t xml:space="preserve"> </w:t>
      </w:r>
      <w:r>
        <w:rPr>
          <w:spacing w:val="12"/>
        </w:rPr>
        <w:t>绿水青山就是金山银山实践</w:t>
      </w:r>
      <w:r>
        <w:t xml:space="preserve">  </w:t>
      </w:r>
      <w:r>
        <w:rPr>
          <w:spacing w:val="9"/>
        </w:rPr>
        <w:t>优秀城市称号，成功入选第一批自治区级低碳试点旗县，汗</w:t>
      </w:r>
      <w:r>
        <w:t xml:space="preserve">  </w:t>
      </w:r>
      <w:r>
        <w:rPr>
          <w:spacing w:val="9"/>
        </w:rPr>
        <w:t>马自然保护区入选世界自然保护联盟绿色名录，获评全国森</w:t>
      </w:r>
      <w:r>
        <w:t xml:space="preserve">  </w:t>
      </w:r>
      <w:r>
        <w:rPr>
          <w:spacing w:val="9"/>
        </w:rPr>
        <w:t>林旅游示范市，全国自驾游目的地试点城市，全国森林康养</w:t>
      </w:r>
      <w:r>
        <w:rPr>
          <w:spacing w:val="1"/>
        </w:rPr>
        <w:t xml:space="preserve">  </w:t>
      </w:r>
      <w:r>
        <w:rPr>
          <w:spacing w:val="7"/>
        </w:rPr>
        <w:t>基地试点建设市，荣获“</w:t>
      </w:r>
      <w:r>
        <w:rPr>
          <w:spacing w:val="-102"/>
        </w:rPr>
        <w:t xml:space="preserve"> </w:t>
      </w:r>
      <w:r>
        <w:rPr>
          <w:spacing w:val="7"/>
        </w:rPr>
        <w:t>中国天然氧吧”称号，通过树立绿</w:t>
      </w:r>
      <w:r>
        <w:t xml:space="preserve">  </w:t>
      </w:r>
      <w:r>
        <w:rPr>
          <w:spacing w:val="6"/>
        </w:rPr>
        <w:t>水青山就是金山银山的理念，在生态文明建设上展现新作为。</w:t>
      </w:r>
    </w:p>
    <w:p>
      <w:pPr>
        <w:pStyle w:val="2"/>
        <w:spacing w:before="60" w:line="369" w:lineRule="auto"/>
        <w:ind w:left="18" w:firstLine="644"/>
      </w:pPr>
      <w:r>
        <w:rPr>
          <w:spacing w:val="13"/>
        </w:rPr>
        <w:t>根河市于</w:t>
      </w:r>
      <w:r>
        <w:rPr>
          <w:spacing w:val="-48"/>
        </w:rPr>
        <w:t xml:space="preserve"> </w:t>
      </w:r>
      <w:r>
        <w:rPr>
          <w:rFonts w:ascii="Times New Roman" w:hAnsi="Times New Roman" w:eastAsia="Times New Roman" w:cs="Times New Roman"/>
          <w:spacing w:val="13"/>
        </w:rPr>
        <w:t xml:space="preserve">2019 </w:t>
      </w:r>
      <w:r>
        <w:rPr>
          <w:spacing w:val="13"/>
        </w:rPr>
        <w:t>年获批第三批国家级生态文明建设示范</w:t>
      </w:r>
      <w:r>
        <w:t xml:space="preserve">  </w:t>
      </w:r>
      <w:r>
        <w:rPr>
          <w:spacing w:val="13"/>
        </w:rPr>
        <w:t>区荣誉称号</w:t>
      </w:r>
      <w:r>
        <w:rPr>
          <w:rFonts w:ascii="宋体" w:hAnsi="宋体" w:eastAsia="宋体" w:cs="宋体"/>
          <w:spacing w:val="13"/>
        </w:rPr>
        <w:t>，</w:t>
      </w:r>
      <w:r>
        <w:rPr>
          <w:spacing w:val="13"/>
        </w:rPr>
        <w:t>按照生态环境部《关于印发</w:t>
      </w:r>
      <w:r>
        <w:rPr>
          <w:rFonts w:ascii="Times New Roman" w:hAnsi="Times New Roman" w:eastAsia="Times New Roman" w:cs="Times New Roman"/>
          <w:spacing w:val="13"/>
        </w:rPr>
        <w:t>&lt;</w:t>
      </w:r>
      <w:r>
        <w:rPr>
          <w:rFonts w:ascii="Times New Roman" w:hAnsi="Times New Roman" w:eastAsia="Times New Roman" w:cs="Times New Roman"/>
          <w:spacing w:val="-37"/>
        </w:rPr>
        <w:t xml:space="preserve"> </w:t>
      </w:r>
      <w:r>
        <w:rPr>
          <w:spacing w:val="13"/>
        </w:rPr>
        <w:t>生态文明</w:t>
      </w:r>
      <w:r>
        <w:rPr>
          <w:spacing w:val="12"/>
        </w:rPr>
        <w:t>建设示</w:t>
      </w:r>
      <w:r>
        <w:t xml:space="preserve">  </w:t>
      </w:r>
      <w:r>
        <w:rPr>
          <w:spacing w:val="11"/>
        </w:rPr>
        <w:t>范区（县）建设指标</w:t>
      </w:r>
      <w:r>
        <w:rPr>
          <w:rFonts w:ascii="Times New Roman" w:hAnsi="Times New Roman" w:eastAsia="Times New Roman" w:cs="Times New Roman"/>
          <w:spacing w:val="11"/>
        </w:rPr>
        <w:t>&gt;&lt;</w:t>
      </w:r>
      <w:r>
        <w:rPr>
          <w:spacing w:val="11"/>
        </w:rPr>
        <w:t>生态文明建设示范区管</w:t>
      </w:r>
      <w:r>
        <w:rPr>
          <w:spacing w:val="10"/>
        </w:rPr>
        <w:t>理规程</w:t>
      </w:r>
      <w:r>
        <w:rPr>
          <w:rFonts w:ascii="Times New Roman" w:hAnsi="Times New Roman" w:eastAsia="Times New Roman" w:cs="Times New Roman"/>
          <w:spacing w:val="10"/>
        </w:rPr>
        <w:t>&gt;</w:t>
      </w:r>
      <w:r>
        <w:rPr>
          <w:rFonts w:ascii="Times New Roman" w:hAnsi="Times New Roman" w:eastAsia="Times New Roman" w:cs="Times New Roman"/>
          <w:spacing w:val="-33"/>
        </w:rPr>
        <w:t xml:space="preserve"> </w:t>
      </w:r>
      <w:r>
        <w:rPr>
          <w:spacing w:val="10"/>
        </w:rPr>
        <w:t>的通</w:t>
      </w:r>
      <w:r>
        <w:t xml:space="preserve">  </w:t>
      </w:r>
      <w:r>
        <w:rPr>
          <w:spacing w:val="3"/>
        </w:rPr>
        <w:t>知》（环办生态〔</w:t>
      </w:r>
      <w:r>
        <w:rPr>
          <w:rFonts w:ascii="Times New Roman" w:hAnsi="Times New Roman" w:eastAsia="Times New Roman" w:cs="Times New Roman"/>
          <w:spacing w:val="3"/>
        </w:rPr>
        <w:t>2024</w:t>
      </w:r>
      <w:r>
        <w:rPr>
          <w:spacing w:val="3"/>
        </w:rPr>
        <w:t>〕</w:t>
      </w:r>
      <w:r>
        <w:rPr>
          <w:rFonts w:ascii="Times New Roman" w:hAnsi="Times New Roman" w:eastAsia="Times New Roman" w:cs="Times New Roman"/>
          <w:spacing w:val="3"/>
        </w:rPr>
        <w:t>4</w:t>
      </w:r>
      <w:r>
        <w:rPr>
          <w:rFonts w:ascii="Times New Roman" w:hAnsi="Times New Roman" w:eastAsia="Times New Roman" w:cs="Times New Roman"/>
          <w:spacing w:val="30"/>
        </w:rPr>
        <w:t xml:space="preserve"> </w:t>
      </w:r>
      <w:r>
        <w:rPr>
          <w:spacing w:val="3"/>
        </w:rPr>
        <w:t>号</w:t>
      </w:r>
      <w:r>
        <w:rPr>
          <w:spacing w:val="-2"/>
        </w:rPr>
        <w:t>），</w:t>
      </w:r>
      <w:r>
        <w:rPr>
          <w:spacing w:val="3"/>
        </w:rPr>
        <w:t>《关于印发</w:t>
      </w:r>
      <w:r>
        <w:rPr>
          <w:rFonts w:ascii="Times New Roman" w:hAnsi="Times New Roman" w:eastAsia="Times New Roman" w:cs="Times New Roman"/>
          <w:spacing w:val="2"/>
        </w:rPr>
        <w:t>&lt;</w:t>
      </w:r>
      <w:r>
        <w:rPr>
          <w:rFonts w:ascii="Times New Roman" w:hAnsi="Times New Roman" w:eastAsia="Times New Roman" w:cs="Times New Roman"/>
          <w:spacing w:val="-35"/>
        </w:rPr>
        <w:t xml:space="preserve"> </w:t>
      </w:r>
      <w:r>
        <w:rPr>
          <w:spacing w:val="2"/>
        </w:rPr>
        <w:t>国家生态文明</w:t>
      </w:r>
      <w:r>
        <w:t xml:space="preserve">  </w:t>
      </w:r>
      <w:r>
        <w:rPr>
          <w:spacing w:val="11"/>
        </w:rPr>
        <w:t>建设示范区规划编制指南（试行）</w:t>
      </w:r>
      <w:r>
        <w:rPr>
          <w:rFonts w:ascii="Times New Roman" w:hAnsi="Times New Roman" w:eastAsia="Times New Roman" w:cs="Times New Roman"/>
          <w:spacing w:val="11"/>
        </w:rPr>
        <w:t>&gt;</w:t>
      </w:r>
      <w:r>
        <w:rPr>
          <w:rFonts w:ascii="Times New Roman" w:hAnsi="Times New Roman" w:eastAsia="Times New Roman" w:cs="Times New Roman"/>
          <w:spacing w:val="-14"/>
        </w:rPr>
        <w:t xml:space="preserve"> </w:t>
      </w:r>
      <w:r>
        <w:rPr>
          <w:spacing w:val="11"/>
        </w:rPr>
        <w:t>的通知》</w:t>
      </w:r>
      <w:r>
        <w:rPr>
          <w:spacing w:val="-129"/>
        </w:rPr>
        <w:t xml:space="preserve"> </w:t>
      </w:r>
      <w:r>
        <w:rPr>
          <w:spacing w:val="11"/>
        </w:rPr>
        <w:t>（环办生态函</w:t>
      </w:r>
      <w:r>
        <w:t xml:space="preserve">  </w:t>
      </w:r>
      <w:r>
        <w:rPr>
          <w:spacing w:val="10"/>
        </w:rPr>
        <w:t>〔</w:t>
      </w:r>
      <w:r>
        <w:rPr>
          <w:rFonts w:ascii="Times New Roman" w:hAnsi="Times New Roman" w:eastAsia="Times New Roman" w:cs="Times New Roman"/>
          <w:spacing w:val="10"/>
        </w:rPr>
        <w:t>2021</w:t>
      </w:r>
      <w:r>
        <w:rPr>
          <w:spacing w:val="10"/>
        </w:rPr>
        <w:t>〕</w:t>
      </w:r>
      <w:r>
        <w:rPr>
          <w:rFonts w:ascii="Times New Roman" w:hAnsi="Times New Roman" w:eastAsia="Times New Roman" w:cs="Times New Roman"/>
          <w:spacing w:val="10"/>
        </w:rPr>
        <w:t>146</w:t>
      </w:r>
      <w:r>
        <w:rPr>
          <w:rFonts w:ascii="Times New Roman" w:hAnsi="Times New Roman" w:eastAsia="Times New Roman" w:cs="Times New Roman"/>
          <w:spacing w:val="31"/>
          <w:w w:val="101"/>
        </w:rPr>
        <w:t xml:space="preserve"> </w:t>
      </w:r>
      <w:r>
        <w:rPr>
          <w:spacing w:val="10"/>
        </w:rPr>
        <w:t>号）等文件要求，根河市创建国</w:t>
      </w:r>
      <w:r>
        <w:rPr>
          <w:spacing w:val="9"/>
        </w:rPr>
        <w:t>家生态文明建</w:t>
      </w:r>
      <w:r>
        <w:t xml:space="preserve">  </w:t>
      </w:r>
      <w:r>
        <w:rPr>
          <w:spacing w:val="9"/>
        </w:rPr>
        <w:t>设示范区规划（</w:t>
      </w:r>
      <w:r>
        <w:rPr>
          <w:rFonts w:ascii="Times New Roman" w:hAnsi="Times New Roman" w:eastAsia="Times New Roman" w:cs="Times New Roman"/>
          <w:spacing w:val="9"/>
        </w:rPr>
        <w:t>2018-2022</w:t>
      </w:r>
      <w:r>
        <w:rPr>
          <w:rFonts w:ascii="Times New Roman" w:hAnsi="Times New Roman" w:eastAsia="Times New Roman" w:cs="Times New Roman"/>
          <w:spacing w:val="24"/>
          <w:w w:val="101"/>
        </w:rPr>
        <w:t xml:space="preserve"> </w:t>
      </w:r>
      <w:r>
        <w:rPr>
          <w:spacing w:val="9"/>
        </w:rPr>
        <w:t>年）</w:t>
      </w:r>
      <w:r>
        <w:rPr>
          <w:spacing w:val="-80"/>
        </w:rPr>
        <w:t xml:space="preserve"> </w:t>
      </w:r>
      <w:r>
        <w:rPr>
          <w:spacing w:val="9"/>
        </w:rPr>
        <w:t>已到期，需要对规划</w:t>
      </w:r>
      <w:r>
        <w:rPr>
          <w:spacing w:val="8"/>
        </w:rPr>
        <w:t>进行修</w:t>
      </w:r>
      <w:r>
        <w:t xml:space="preserve">  </w:t>
      </w:r>
      <w:r>
        <w:rPr>
          <w:spacing w:val="5"/>
        </w:rPr>
        <w:t>编。</w:t>
      </w:r>
      <w:r>
        <w:rPr>
          <w:rFonts w:ascii="Times New Roman" w:hAnsi="Times New Roman" w:eastAsia="Times New Roman" w:cs="Times New Roman"/>
          <w:spacing w:val="5"/>
        </w:rPr>
        <w:t xml:space="preserve">2024 </w:t>
      </w:r>
      <w:r>
        <w:rPr>
          <w:spacing w:val="5"/>
        </w:rPr>
        <w:t>年生态环境部将对根河市国家级生态文明建设示范</w:t>
      </w:r>
      <w:r>
        <w:rPr>
          <w:spacing w:val="7"/>
        </w:rPr>
        <w:t xml:space="preserve">  </w:t>
      </w:r>
      <w:r>
        <w:rPr>
          <w:spacing w:val="9"/>
        </w:rPr>
        <w:t>区进行复检，根河市政府决定编制《内蒙古自治区根河市国</w:t>
      </w:r>
      <w:r>
        <w:rPr>
          <w:spacing w:val="2"/>
        </w:rPr>
        <w:t xml:space="preserve">  </w:t>
      </w:r>
      <w:r>
        <w:rPr>
          <w:spacing w:val="11"/>
        </w:rPr>
        <w:t>家生态文明建设示范市规划（2023-2035）</w:t>
      </w:r>
      <w:r>
        <w:rPr>
          <w:spacing w:val="10"/>
        </w:rPr>
        <w:t>》，</w:t>
      </w:r>
      <w:r>
        <w:rPr>
          <w:spacing w:val="-85"/>
        </w:rPr>
        <w:t xml:space="preserve"> </w:t>
      </w:r>
      <w:r>
        <w:rPr>
          <w:spacing w:val="10"/>
        </w:rPr>
        <w:t>以更好的总</w:t>
      </w:r>
      <w:r>
        <w:t xml:space="preserve">  </w:t>
      </w:r>
      <w:r>
        <w:rPr>
          <w:spacing w:val="9"/>
        </w:rPr>
        <w:t>结根河市生态文明建设的历程和成效，分析当前面临的新形</w:t>
      </w:r>
      <w:r>
        <w:rPr>
          <w:spacing w:val="3"/>
        </w:rPr>
        <w:t xml:space="preserve">  </w:t>
      </w:r>
      <w:r>
        <w:rPr>
          <w:spacing w:val="9"/>
        </w:rPr>
        <w:t>势和存在的困难，进一步明确根河市持续推进生态文明建设</w:t>
      </w:r>
      <w:r>
        <w:rPr>
          <w:spacing w:val="2"/>
        </w:rPr>
        <w:t xml:space="preserve">  </w:t>
      </w:r>
      <w:r>
        <w:rPr>
          <w:spacing w:val="7"/>
        </w:rPr>
        <w:t>的总体目标和重点任务，为根河市生态文明建设提供基</w:t>
      </w:r>
      <w:r>
        <w:rPr>
          <w:spacing w:val="6"/>
        </w:rPr>
        <w:t>础性、</w:t>
      </w:r>
      <w:r>
        <w:t xml:space="preserve"> </w:t>
      </w:r>
      <w:r>
        <w:rPr>
          <w:spacing w:val="8"/>
        </w:rPr>
        <w:t>指导性、纲领性文件。</w:t>
      </w:r>
    </w:p>
    <w:p>
      <w:pPr>
        <w:spacing w:line="369" w:lineRule="auto"/>
        <w:sectPr>
          <w:headerReference r:id="rId8" w:type="default"/>
          <w:pgSz w:w="11906" w:h="16839"/>
          <w:pgMar w:top="1191" w:right="1543" w:bottom="400" w:left="1785" w:header="882" w:footer="0" w:gutter="0"/>
          <w:cols w:space="720" w:num="1"/>
        </w:sectPr>
      </w:pPr>
    </w:p>
    <w:p>
      <w:pPr>
        <w:spacing w:line="300" w:lineRule="auto"/>
        <w:rPr>
          <w:rFonts w:ascii="Arial"/>
          <w:sz w:val="21"/>
        </w:rPr>
      </w:pPr>
    </w:p>
    <w:sdt>
      <w:sdtPr>
        <w:rPr>
          <w:rFonts w:ascii="黑体" w:hAnsi="黑体" w:eastAsia="黑体" w:cs="黑体"/>
          <w:sz w:val="31"/>
          <w:szCs w:val="31"/>
        </w:rPr>
        <w:id w:val="147472480"/>
        <w:docPartObj>
          <w:docPartGallery w:val="Table of Contents"/>
          <w:docPartUnique/>
        </w:docPartObj>
      </w:sdtPr>
      <w:sdtEndPr>
        <w:rPr>
          <w:rFonts w:ascii="黑体" w:hAnsi="黑体" w:eastAsia="黑体" w:cs="黑体"/>
          <w:sz w:val="28"/>
          <w:szCs w:val="28"/>
        </w:rPr>
      </w:sdtEndPr>
      <w:sdtContent>
        <w:p>
          <w:pPr>
            <w:spacing w:before="100" w:line="227" w:lineRule="auto"/>
            <w:ind w:left="3820"/>
            <w:rPr>
              <w:rFonts w:ascii="黑体" w:hAnsi="黑体" w:eastAsia="黑体" w:cs="黑体"/>
              <w:sz w:val="31"/>
              <w:szCs w:val="31"/>
            </w:rPr>
          </w:pPr>
          <w:r>
            <w:rPr>
              <w:rFonts w:ascii="黑体" w:hAnsi="黑体" w:eastAsia="黑体" w:cs="黑体"/>
              <w:spacing w:val="-22"/>
              <w:sz w:val="31"/>
              <w:szCs w:val="31"/>
            </w:rPr>
            <w:t>目</w:t>
          </w:r>
          <w:r>
            <w:rPr>
              <w:rFonts w:ascii="黑体" w:hAnsi="黑体" w:eastAsia="黑体" w:cs="黑体"/>
              <w:spacing w:val="20"/>
              <w:sz w:val="31"/>
              <w:szCs w:val="31"/>
            </w:rPr>
            <w:t xml:space="preserve"> </w:t>
          </w:r>
          <w:r>
            <w:rPr>
              <w:rFonts w:ascii="黑体" w:hAnsi="黑体" w:eastAsia="黑体" w:cs="黑体"/>
              <w:spacing w:val="-22"/>
              <w:sz w:val="31"/>
              <w:szCs w:val="31"/>
            </w:rPr>
            <w:t>录</w:t>
          </w:r>
        </w:p>
        <w:p>
          <w:pPr>
            <w:tabs>
              <w:tab w:val="right" w:leader="dot" w:pos="8319"/>
            </w:tabs>
            <w:spacing w:before="263" w:line="188" w:lineRule="auto"/>
            <w:ind w:left="29"/>
            <w:rPr>
              <w:rFonts w:ascii="黑体" w:hAnsi="黑体" w:eastAsia="黑体" w:cs="黑体"/>
              <w:sz w:val="28"/>
              <w:szCs w:val="28"/>
            </w:rPr>
          </w:pPr>
          <w:bookmarkStart w:id="0" w:name="bookmark1"/>
          <w:bookmarkEnd w:id="0"/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黑体" w:hAnsi="黑体" w:eastAsia="黑体" w:cs="黑体"/>
              <w:spacing w:val="-2"/>
              <w:sz w:val="28"/>
              <w:szCs w:val="28"/>
            </w:rPr>
            <w:t>一、 发展基础和形势</w:t>
          </w:r>
          <w:r>
            <w:rPr>
              <w:rFonts w:ascii="黑体" w:hAnsi="黑体" w:eastAsia="黑体" w:cs="黑体"/>
              <w:spacing w:val="-46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z w:val="28"/>
              <w:szCs w:val="28"/>
            </w:rPr>
            <w:tab/>
          </w:r>
          <w:r>
            <w:rPr>
              <w:rFonts w:ascii="黑体" w:hAnsi="黑体" w:eastAsia="黑体" w:cs="黑体"/>
              <w:spacing w:val="-36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pacing w:val="-25"/>
              <w:sz w:val="28"/>
              <w:szCs w:val="28"/>
            </w:rPr>
            <w:t>1</w:t>
          </w:r>
          <w:r>
            <w:rPr>
              <w:rFonts w:ascii="黑体" w:hAnsi="黑体" w:eastAsia="黑体" w:cs="黑体"/>
              <w:spacing w:val="-25"/>
              <w:sz w:val="28"/>
              <w:szCs w:val="28"/>
            </w:rPr>
            <w:fldChar w:fldCharType="end"/>
          </w:r>
        </w:p>
        <w:p>
          <w:pPr>
            <w:pStyle w:val="2"/>
            <w:tabs>
              <w:tab w:val="right" w:leader="dot" w:pos="8319"/>
            </w:tabs>
            <w:spacing w:before="219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1" w:name="bookmark3"/>
          <w:bookmarkEnd w:id="1"/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（一） 基础条件</w:t>
          </w:r>
          <w:r>
            <w:rPr>
              <w:spacing w:val="-90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spacing w:val="-70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6"/>
              <w:sz w:val="30"/>
              <w:szCs w:val="30"/>
            </w:rPr>
            <w:t>1</w:t>
          </w:r>
          <w:r>
            <w:rPr>
              <w:rFonts w:ascii="Times New Roman" w:hAnsi="Times New Roman" w:eastAsia="Times New Roman" w:cs="Times New Roman"/>
              <w:spacing w:val="-36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19"/>
            </w:tabs>
            <w:spacing w:before="222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2" w:name="bookmark5"/>
          <w:bookmarkEnd w:id="2"/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（二） 不利因素</w:t>
          </w:r>
          <w:r>
            <w:rPr>
              <w:sz w:val="30"/>
              <w:szCs w:val="30"/>
            </w:rPr>
            <w:tab/>
          </w:r>
          <w:r>
            <w:rPr>
              <w:spacing w:val="-94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7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19"/>
            </w:tabs>
            <w:spacing w:before="219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3" w:name="bookmark7"/>
          <w:bookmarkEnd w:id="3"/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（三） 机遇挑战</w:t>
          </w:r>
          <w:r>
            <w:rPr>
              <w:spacing w:val="-90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spacing w:val="-87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9"/>
              <w:sz w:val="30"/>
              <w:szCs w:val="30"/>
            </w:rPr>
            <w:t>8</w:t>
          </w:r>
          <w:r>
            <w:rPr>
              <w:rFonts w:ascii="Times New Roman" w:hAnsi="Times New Roman" w:eastAsia="Times New Roman" w:cs="Times New Roman"/>
              <w:spacing w:val="-19"/>
              <w:sz w:val="30"/>
              <w:szCs w:val="30"/>
            </w:rPr>
            <w:fldChar w:fldCharType="end"/>
          </w:r>
        </w:p>
        <w:p>
          <w:pPr>
            <w:tabs>
              <w:tab w:val="right" w:leader="dot" w:pos="8320"/>
            </w:tabs>
            <w:spacing w:before="238" w:line="188" w:lineRule="auto"/>
            <w:ind w:left="29"/>
            <w:rPr>
              <w:rFonts w:ascii="黑体" w:hAnsi="黑体" w:eastAsia="黑体" w:cs="黑体"/>
              <w:sz w:val="28"/>
              <w:szCs w:val="28"/>
            </w:rPr>
          </w:pPr>
          <w:bookmarkStart w:id="4" w:name="bookmark9"/>
          <w:bookmarkEnd w:id="4"/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rFonts w:ascii="黑体" w:hAnsi="黑体" w:eastAsia="黑体" w:cs="黑体"/>
              <w:spacing w:val="-2"/>
              <w:sz w:val="28"/>
              <w:szCs w:val="28"/>
            </w:rPr>
            <w:t>二、 规划总则</w:t>
          </w:r>
          <w:r>
            <w:rPr>
              <w:rFonts w:ascii="黑体" w:hAnsi="黑体" w:eastAsia="黑体" w:cs="黑体"/>
              <w:spacing w:val="-52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z w:val="28"/>
              <w:szCs w:val="28"/>
            </w:rPr>
            <w:tab/>
          </w:r>
          <w:r>
            <w:rPr>
              <w:rFonts w:ascii="黑体" w:hAnsi="黑体" w:eastAsia="黑体" w:cs="黑体"/>
              <w:spacing w:val="-41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pacing w:val="-12"/>
              <w:sz w:val="28"/>
              <w:szCs w:val="28"/>
            </w:rPr>
            <w:t>11</w:t>
          </w:r>
          <w:r>
            <w:rPr>
              <w:rFonts w:ascii="黑体" w:hAnsi="黑体" w:eastAsia="黑体" w:cs="黑体"/>
              <w:spacing w:val="-12"/>
              <w:sz w:val="28"/>
              <w:szCs w:val="28"/>
            </w:rPr>
            <w:fldChar w:fldCharType="end"/>
          </w:r>
        </w:p>
        <w:p>
          <w:pPr>
            <w:pStyle w:val="2"/>
            <w:tabs>
              <w:tab w:val="right" w:leader="dot" w:pos="8324"/>
            </w:tabs>
            <w:spacing w:before="219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5" w:name="bookmark11"/>
          <w:bookmarkEnd w:id="5"/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spacing w:val="-4"/>
              <w:sz w:val="30"/>
              <w:szCs w:val="30"/>
            </w:rPr>
            <w:t>（一）</w:t>
          </w:r>
          <w:r>
            <w:rPr>
              <w:spacing w:val="20"/>
              <w:sz w:val="30"/>
              <w:szCs w:val="30"/>
            </w:rPr>
            <w:t xml:space="preserve"> </w:t>
          </w:r>
          <w:r>
            <w:rPr>
              <w:spacing w:val="-4"/>
              <w:sz w:val="30"/>
              <w:szCs w:val="30"/>
            </w:rPr>
            <w:t>规划定位</w:t>
          </w:r>
          <w:r>
            <w:rPr>
              <w:sz w:val="30"/>
              <w:szCs w:val="30"/>
            </w:rPr>
            <w:tab/>
          </w:r>
          <w:r>
            <w:rPr>
              <w:spacing w:val="-59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8"/>
              <w:sz w:val="30"/>
              <w:szCs w:val="30"/>
            </w:rPr>
            <w:t>11</w:t>
          </w:r>
          <w:r>
            <w:rPr>
              <w:rFonts w:ascii="Times New Roman" w:hAnsi="Times New Roman" w:eastAsia="Times New Roman" w:cs="Times New Roman"/>
              <w:spacing w:val="-18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4"/>
            </w:tabs>
            <w:spacing w:before="220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6" w:name="bookmark13"/>
          <w:bookmarkEnd w:id="6"/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（二） 指导思想</w:t>
          </w:r>
          <w:r>
            <w:rPr>
              <w:spacing w:val="-90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spacing w:val="-59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8"/>
              <w:sz w:val="30"/>
              <w:szCs w:val="30"/>
            </w:rPr>
            <w:t>11</w:t>
          </w:r>
          <w:r>
            <w:rPr>
              <w:rFonts w:ascii="Times New Roman" w:hAnsi="Times New Roman" w:eastAsia="Times New Roman" w:cs="Times New Roman"/>
              <w:spacing w:val="-18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2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7" w:name="bookmark15"/>
          <w:bookmarkEnd w:id="7"/>
          <w:r>
            <w:fldChar w:fldCharType="begin"/>
          </w:r>
          <w:r>
            <w:instrText xml:space="preserve"> HYPERLINK \l "bookmark16"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（三） 基本原则</w:t>
          </w:r>
          <w:r>
            <w:rPr>
              <w:spacing w:val="-90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spacing w:val="-71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7"/>
              <w:sz w:val="30"/>
              <w:szCs w:val="30"/>
            </w:rPr>
            <w:t>12</w:t>
          </w:r>
          <w:r>
            <w:rPr>
              <w:rFonts w:ascii="Times New Roman" w:hAnsi="Times New Roman" w:eastAsia="Times New Roman" w:cs="Times New Roman"/>
              <w:spacing w:val="-17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1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8" w:name="bookmark17"/>
          <w:bookmarkEnd w:id="8"/>
          <w:r>
            <w:fldChar w:fldCharType="begin"/>
          </w:r>
          <w:r>
            <w:instrText xml:space="preserve"> HYPERLINK \l "bookmark18" </w:instrText>
          </w:r>
          <w:r>
            <w:fldChar w:fldCharType="separate"/>
          </w:r>
          <w:r>
            <w:rPr>
              <w:spacing w:val="-11"/>
              <w:sz w:val="30"/>
              <w:szCs w:val="30"/>
            </w:rPr>
            <w:t>（四）</w:t>
          </w:r>
          <w:r>
            <w:rPr>
              <w:spacing w:val="69"/>
              <w:sz w:val="30"/>
              <w:szCs w:val="30"/>
            </w:rPr>
            <w:t xml:space="preserve"> </w:t>
          </w:r>
          <w:r>
            <w:rPr>
              <w:spacing w:val="-11"/>
              <w:sz w:val="30"/>
              <w:szCs w:val="30"/>
            </w:rPr>
            <w:t>目标指标</w:t>
          </w:r>
          <w:r>
            <w:rPr>
              <w:sz w:val="30"/>
              <w:szCs w:val="30"/>
            </w:rPr>
            <w:tab/>
          </w:r>
          <w:r>
            <w:rPr>
              <w:spacing w:val="-71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7"/>
              <w:sz w:val="30"/>
              <w:szCs w:val="30"/>
            </w:rPr>
            <w:t>13</w:t>
          </w:r>
          <w:r>
            <w:rPr>
              <w:rFonts w:ascii="Times New Roman" w:hAnsi="Times New Roman" w:eastAsia="Times New Roman" w:cs="Times New Roman"/>
              <w:spacing w:val="-17"/>
              <w:sz w:val="30"/>
              <w:szCs w:val="30"/>
            </w:rPr>
            <w:fldChar w:fldCharType="end"/>
          </w:r>
        </w:p>
        <w:p>
          <w:pPr>
            <w:tabs>
              <w:tab w:val="right" w:leader="dot" w:pos="8320"/>
            </w:tabs>
            <w:spacing w:before="236" w:line="188" w:lineRule="auto"/>
            <w:ind w:left="30"/>
            <w:rPr>
              <w:rFonts w:ascii="黑体" w:hAnsi="黑体" w:eastAsia="黑体" w:cs="黑体"/>
              <w:sz w:val="28"/>
              <w:szCs w:val="28"/>
            </w:rPr>
          </w:pPr>
          <w:bookmarkStart w:id="9" w:name="bookmark19"/>
          <w:bookmarkEnd w:id="9"/>
          <w:r>
            <w:fldChar w:fldCharType="begin"/>
          </w:r>
          <w:r>
            <w:instrText xml:space="preserve"> HYPERLINK \l "bookmark20" </w:instrText>
          </w:r>
          <w:r>
            <w:fldChar w:fldCharType="separate"/>
          </w:r>
          <w:r>
            <w:rPr>
              <w:rFonts w:ascii="黑体" w:hAnsi="黑体" w:eastAsia="黑体" w:cs="黑体"/>
              <w:spacing w:val="-1"/>
              <w:sz w:val="28"/>
              <w:szCs w:val="28"/>
            </w:rPr>
            <w:t>三、 健全目标责任体系，强化责任落实</w:t>
          </w:r>
          <w:r>
            <w:rPr>
              <w:rFonts w:ascii="黑体" w:hAnsi="黑体" w:eastAsia="黑体" w:cs="黑体"/>
              <w:spacing w:val="-48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z w:val="28"/>
              <w:szCs w:val="28"/>
            </w:rPr>
            <w:tab/>
          </w:r>
          <w:r>
            <w:rPr>
              <w:rFonts w:ascii="黑体" w:hAnsi="黑体" w:eastAsia="黑体" w:cs="黑体"/>
              <w:spacing w:val="-20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pacing w:val="-12"/>
              <w:sz w:val="28"/>
              <w:szCs w:val="28"/>
            </w:rPr>
            <w:t>19</w:t>
          </w:r>
          <w:r>
            <w:rPr>
              <w:rFonts w:ascii="黑体" w:hAnsi="黑体" w:eastAsia="黑体" w:cs="黑体"/>
              <w:spacing w:val="-12"/>
              <w:sz w:val="28"/>
              <w:szCs w:val="28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0" w:line="184" w:lineRule="auto"/>
            <w:ind w:left="439"/>
            <w:rPr>
              <w:sz w:val="30"/>
              <w:szCs w:val="30"/>
            </w:rPr>
          </w:pPr>
          <w:bookmarkStart w:id="10" w:name="bookmark21"/>
          <w:bookmarkEnd w:id="10"/>
          <w:r>
            <w:fldChar w:fldCharType="begin"/>
          </w:r>
          <w:r>
            <w:instrText xml:space="preserve"> HYPERLINK \l "bookmark22"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（一） 加强生态文明建设工作考核评价</w:t>
          </w:r>
          <w:r>
            <w:rPr>
              <w:spacing w:val="-49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spacing w:val="-78"/>
              <w:sz w:val="30"/>
              <w:szCs w:val="30"/>
            </w:rPr>
            <w:t xml:space="preserve"> </w:t>
          </w:r>
          <w:r>
            <w:rPr>
              <w:spacing w:val="-15"/>
              <w:sz w:val="30"/>
              <w:szCs w:val="30"/>
            </w:rPr>
            <w:t>19</w:t>
          </w:r>
          <w:r>
            <w:rPr>
              <w:spacing w:val="-15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1" w:line="184" w:lineRule="auto"/>
            <w:ind w:left="439"/>
            <w:rPr>
              <w:sz w:val="30"/>
              <w:szCs w:val="30"/>
            </w:rPr>
          </w:pPr>
          <w:bookmarkStart w:id="11" w:name="bookmark23"/>
          <w:bookmarkEnd w:id="11"/>
          <w:r>
            <w:fldChar w:fldCharType="begin"/>
          </w:r>
          <w:r>
            <w:instrText xml:space="preserve"> HYPERLINK \l "bookmark24"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（二） 完善生态环境损害责任追究制度</w:t>
          </w:r>
          <w:r>
            <w:rPr>
              <w:spacing w:val="-49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spacing w:val="-78"/>
              <w:sz w:val="30"/>
              <w:szCs w:val="30"/>
            </w:rPr>
            <w:t xml:space="preserve"> </w:t>
          </w:r>
          <w:r>
            <w:rPr>
              <w:spacing w:val="-15"/>
              <w:sz w:val="30"/>
              <w:szCs w:val="30"/>
            </w:rPr>
            <w:t>19</w:t>
          </w:r>
          <w:r>
            <w:rPr>
              <w:spacing w:val="-15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0" w:line="184" w:lineRule="auto"/>
            <w:ind w:left="439"/>
            <w:rPr>
              <w:sz w:val="30"/>
              <w:szCs w:val="30"/>
            </w:rPr>
          </w:pPr>
          <w:bookmarkStart w:id="12" w:name="bookmark25"/>
          <w:bookmarkEnd w:id="12"/>
          <w:r>
            <w:fldChar w:fldCharType="begin"/>
          </w:r>
          <w:r>
            <w:instrText xml:space="preserve"> HYPERLINK \l "bookmark26"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（三） 健全领导干部自然资源资产离任审计</w:t>
          </w:r>
          <w:r>
            <w:rPr>
              <w:spacing w:val="-47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spacing w:val="17"/>
              <w:sz w:val="30"/>
              <w:szCs w:val="30"/>
            </w:rPr>
            <w:t>19</w:t>
          </w:r>
          <w:r>
            <w:rPr>
              <w:spacing w:val="17"/>
              <w:sz w:val="30"/>
              <w:szCs w:val="30"/>
            </w:rPr>
            <w:fldChar w:fldCharType="end"/>
          </w:r>
        </w:p>
        <w:p>
          <w:pPr>
            <w:tabs>
              <w:tab w:val="right" w:leader="dot" w:pos="8320"/>
            </w:tabs>
            <w:spacing w:before="237" w:line="188" w:lineRule="auto"/>
            <w:ind w:left="41"/>
            <w:rPr>
              <w:rFonts w:ascii="黑体" w:hAnsi="黑体" w:eastAsia="黑体" w:cs="黑体"/>
              <w:sz w:val="28"/>
              <w:szCs w:val="28"/>
            </w:rPr>
          </w:pPr>
          <w:bookmarkStart w:id="13" w:name="bookmark27"/>
          <w:bookmarkEnd w:id="13"/>
          <w:r>
            <w:fldChar w:fldCharType="begin"/>
          </w:r>
          <w:r>
            <w:instrText xml:space="preserve"> HYPERLINK \l "bookmark28" </w:instrText>
          </w:r>
          <w:r>
            <w:fldChar w:fldCharType="separate"/>
          </w:r>
          <w:r>
            <w:rPr>
              <w:rFonts w:ascii="黑体" w:hAnsi="黑体" w:eastAsia="黑体" w:cs="黑体"/>
              <w:spacing w:val="-2"/>
              <w:sz w:val="28"/>
              <w:szCs w:val="28"/>
            </w:rPr>
            <w:t>四、 优化生态空间，提升生态质量</w:t>
          </w:r>
          <w:r>
            <w:rPr>
              <w:rFonts w:ascii="黑体" w:hAnsi="黑体" w:eastAsia="黑体" w:cs="黑体"/>
              <w:spacing w:val="-46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z w:val="28"/>
              <w:szCs w:val="28"/>
            </w:rPr>
            <w:tab/>
          </w:r>
          <w:r>
            <w:rPr>
              <w:rFonts w:ascii="黑体" w:hAnsi="黑体" w:eastAsia="黑体" w:cs="黑体"/>
              <w:spacing w:val="-39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pacing w:val="-4"/>
              <w:sz w:val="28"/>
              <w:szCs w:val="28"/>
            </w:rPr>
            <w:t>20</w:t>
          </w:r>
          <w:r>
            <w:rPr>
              <w:rFonts w:ascii="黑体" w:hAnsi="黑体" w:eastAsia="黑体" w:cs="黑体"/>
              <w:spacing w:val="-4"/>
              <w:sz w:val="28"/>
              <w:szCs w:val="28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0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14" w:name="bookmark29"/>
          <w:bookmarkEnd w:id="14"/>
          <w:r>
            <w:fldChar w:fldCharType="begin"/>
          </w:r>
          <w:r>
            <w:instrText xml:space="preserve"> HYPERLINK \l "bookmark30"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（一） 严格落实生态空间分区管控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t>20</w:t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0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15" w:name="bookmark31"/>
          <w:bookmarkEnd w:id="15"/>
          <w:r>
            <w:fldChar w:fldCharType="begin"/>
          </w:r>
          <w:r>
            <w:instrText xml:space="preserve"> HYPERLINK \l "bookmark32"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（二） 持续推进生态系统保护修复</w:t>
          </w:r>
          <w:r>
            <w:rPr>
              <w:spacing w:val="-82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t>22</w:t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1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16" w:name="bookmark33"/>
          <w:bookmarkEnd w:id="16"/>
          <w:r>
            <w:fldChar w:fldCharType="begin"/>
          </w:r>
          <w:r>
            <w:instrText xml:space="preserve"> HYPERLINK \l "bookmark34"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（三） 强化生物多样性与安全保护</w:t>
          </w:r>
          <w:r>
            <w:rPr>
              <w:spacing w:val="-82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t>24</w:t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2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17" w:name="bookmark35"/>
          <w:bookmarkEnd w:id="17"/>
          <w:r>
            <w:fldChar w:fldCharType="begin"/>
          </w:r>
          <w:r>
            <w:instrText xml:space="preserve"> HYPERLINK \l "bookmark36"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（四） 筑牢维护全域生态安全格局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t>24</w:t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0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18" w:name="bookmark37"/>
          <w:bookmarkEnd w:id="18"/>
          <w:r>
            <w:fldChar w:fldCharType="begin"/>
          </w:r>
          <w:r>
            <w:instrText xml:space="preserve"> HYPERLINK \l "bookmark38"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（五） 落实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“</w:t>
          </w:r>
          <w:r>
            <w:rPr>
              <w:spacing w:val="-1"/>
              <w:sz w:val="30"/>
              <w:szCs w:val="30"/>
            </w:rPr>
            <w:t>双碳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”</w:t>
          </w:r>
          <w:r>
            <w:rPr>
              <w:spacing w:val="-1"/>
              <w:sz w:val="30"/>
              <w:szCs w:val="30"/>
            </w:rPr>
            <w:t>目标应对气候变化</w:t>
          </w:r>
          <w:r>
            <w:rPr>
              <w:spacing w:val="-80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spacing w:val="-102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t>25</w:t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fldChar w:fldCharType="end"/>
          </w:r>
        </w:p>
        <w:p>
          <w:pPr>
            <w:tabs>
              <w:tab w:val="right" w:leader="dot" w:pos="8320"/>
            </w:tabs>
            <w:spacing w:before="237" w:line="188" w:lineRule="auto"/>
            <w:ind w:left="32"/>
            <w:rPr>
              <w:rFonts w:ascii="黑体" w:hAnsi="黑体" w:eastAsia="黑体" w:cs="黑体"/>
              <w:sz w:val="28"/>
              <w:szCs w:val="28"/>
            </w:rPr>
          </w:pPr>
          <w:bookmarkStart w:id="19" w:name="bookmark39"/>
          <w:bookmarkEnd w:id="19"/>
          <w:r>
            <w:fldChar w:fldCharType="begin"/>
          </w:r>
          <w:r>
            <w:instrText xml:space="preserve"> HYPERLINK \l "bookmark40" </w:instrText>
          </w:r>
          <w:r>
            <w:fldChar w:fldCharType="separate"/>
          </w:r>
          <w:r>
            <w:rPr>
              <w:rFonts w:ascii="黑体" w:hAnsi="黑体" w:eastAsia="黑体" w:cs="黑体"/>
              <w:spacing w:val="-2"/>
              <w:sz w:val="28"/>
              <w:szCs w:val="28"/>
            </w:rPr>
            <w:t>五、 提升治理水平，改善环境质量</w:t>
          </w:r>
          <w:r>
            <w:rPr>
              <w:rFonts w:ascii="黑体" w:hAnsi="黑体" w:eastAsia="黑体" w:cs="黑体"/>
              <w:spacing w:val="-37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z w:val="28"/>
              <w:szCs w:val="28"/>
            </w:rPr>
            <w:tab/>
          </w:r>
          <w:r>
            <w:rPr>
              <w:rFonts w:ascii="黑体" w:hAnsi="黑体" w:eastAsia="黑体" w:cs="黑体"/>
              <w:spacing w:val="-39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pacing w:val="-4"/>
              <w:sz w:val="28"/>
              <w:szCs w:val="28"/>
            </w:rPr>
            <w:t>26</w:t>
          </w:r>
          <w:r>
            <w:rPr>
              <w:rFonts w:ascii="黑体" w:hAnsi="黑体" w:eastAsia="黑体" w:cs="黑体"/>
              <w:spacing w:val="-4"/>
              <w:sz w:val="28"/>
              <w:szCs w:val="28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0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20" w:name="bookmark41"/>
          <w:bookmarkEnd w:id="20"/>
          <w:r>
            <w:fldChar w:fldCharType="begin"/>
          </w:r>
          <w:r>
            <w:instrText xml:space="preserve"> HYPERLINK \l "bookmark42"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（一） 维护大气环境质量</w:t>
          </w:r>
          <w:r>
            <w:rPr>
              <w:sz w:val="30"/>
              <w:szCs w:val="30"/>
            </w:rPr>
            <w:tab/>
          </w:r>
          <w:r>
            <w:rPr>
              <w:spacing w:val="-116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t>26</w:t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19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21" w:name="bookmark43"/>
          <w:bookmarkEnd w:id="21"/>
          <w:r>
            <w:fldChar w:fldCharType="begin"/>
          </w:r>
          <w:r>
            <w:instrText xml:space="preserve"> HYPERLINK \l "bookmark44"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（二） 进一步提升水环境质量</w:t>
          </w:r>
          <w:r>
            <w:rPr>
              <w:spacing w:val="-84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10"/>
              <w:sz w:val="30"/>
              <w:szCs w:val="30"/>
            </w:rPr>
            <w:t>28</w:t>
          </w:r>
          <w:r>
            <w:rPr>
              <w:rFonts w:ascii="Times New Roman" w:hAnsi="Times New Roman" w:eastAsia="Times New Roman" w:cs="Times New Roman"/>
              <w:spacing w:val="10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2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22" w:name="bookmark45"/>
          <w:bookmarkEnd w:id="22"/>
          <w:r>
            <w:fldChar w:fldCharType="begin"/>
          </w:r>
          <w:r>
            <w:instrText xml:space="preserve"> HYPERLINK \l "bookmark46"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（三） 逐步改善声环境治理</w:t>
          </w:r>
          <w:r>
            <w:rPr>
              <w:spacing w:val="-85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12"/>
              <w:sz w:val="30"/>
              <w:szCs w:val="30"/>
            </w:rPr>
            <w:t>34</w:t>
          </w:r>
          <w:r>
            <w:rPr>
              <w:rFonts w:ascii="Times New Roman" w:hAnsi="Times New Roman" w:eastAsia="Times New Roman" w:cs="Times New Roman"/>
              <w:spacing w:val="12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2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23" w:name="bookmark47"/>
          <w:bookmarkEnd w:id="23"/>
          <w:r>
            <w:fldChar w:fldCharType="begin"/>
          </w:r>
          <w:r>
            <w:instrText xml:space="preserve"> HYPERLINK \l "bookmark48" </w:instrText>
          </w:r>
          <w:r>
            <w:fldChar w:fldCharType="separate"/>
          </w:r>
          <w:r>
            <w:rPr>
              <w:spacing w:val="-4"/>
              <w:sz w:val="30"/>
              <w:szCs w:val="30"/>
            </w:rPr>
            <w:t>（四）</w:t>
          </w:r>
          <w:r>
            <w:rPr>
              <w:spacing w:val="37"/>
              <w:sz w:val="30"/>
              <w:szCs w:val="30"/>
            </w:rPr>
            <w:t xml:space="preserve"> </w:t>
          </w:r>
          <w:r>
            <w:rPr>
              <w:spacing w:val="-4"/>
              <w:sz w:val="30"/>
              <w:szCs w:val="30"/>
            </w:rPr>
            <w:t>防范生态环境风险</w:t>
          </w:r>
          <w:r>
            <w:rPr>
              <w:sz w:val="30"/>
              <w:szCs w:val="30"/>
            </w:rPr>
            <w:tab/>
          </w:r>
          <w:r>
            <w:rPr>
              <w:spacing w:val="-110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6"/>
              <w:sz w:val="30"/>
              <w:szCs w:val="30"/>
            </w:rPr>
            <w:t>35</w:t>
          </w:r>
          <w:r>
            <w:rPr>
              <w:rFonts w:ascii="Times New Roman" w:hAnsi="Times New Roman" w:eastAsia="Times New Roman" w:cs="Times New Roman"/>
              <w:spacing w:val="-6"/>
              <w:sz w:val="30"/>
              <w:szCs w:val="30"/>
            </w:rPr>
            <w:fldChar w:fldCharType="end"/>
          </w:r>
        </w:p>
        <w:p>
          <w:pPr>
            <w:tabs>
              <w:tab w:val="right" w:leader="dot" w:pos="8320"/>
            </w:tabs>
            <w:spacing w:before="234" w:line="214" w:lineRule="auto"/>
            <w:ind w:left="33"/>
            <w:rPr>
              <w:rFonts w:ascii="黑体" w:hAnsi="黑体" w:eastAsia="黑体" w:cs="黑体"/>
              <w:sz w:val="28"/>
              <w:szCs w:val="28"/>
            </w:rPr>
          </w:pPr>
          <w:bookmarkStart w:id="24" w:name="bookmark49"/>
          <w:bookmarkEnd w:id="24"/>
          <w:r>
            <w:fldChar w:fldCharType="begin"/>
          </w:r>
          <w:r>
            <w:instrText xml:space="preserve"> HYPERLINK \l "bookmark50" </w:instrText>
          </w:r>
          <w:r>
            <w:fldChar w:fldCharType="separate"/>
          </w:r>
          <w:r>
            <w:rPr>
              <w:rFonts w:ascii="黑体" w:hAnsi="黑体" w:eastAsia="黑体" w:cs="黑体"/>
              <w:spacing w:val="-2"/>
              <w:sz w:val="28"/>
              <w:szCs w:val="28"/>
            </w:rPr>
            <w:t>六、 做强生态经济体系，推动绿色发展</w:t>
          </w:r>
          <w:r>
            <w:rPr>
              <w:rFonts w:ascii="黑体" w:hAnsi="黑体" w:eastAsia="黑体" w:cs="黑体"/>
              <w:spacing w:val="-33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z w:val="28"/>
              <w:szCs w:val="28"/>
            </w:rPr>
            <w:tab/>
          </w:r>
          <w:r>
            <w:rPr>
              <w:rFonts w:ascii="黑体" w:hAnsi="黑体" w:eastAsia="黑体" w:cs="黑体"/>
              <w:spacing w:val="-34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pacing w:val="-5"/>
              <w:sz w:val="28"/>
              <w:szCs w:val="28"/>
            </w:rPr>
            <w:t>37</w:t>
          </w:r>
          <w:r>
            <w:rPr>
              <w:rFonts w:ascii="黑体" w:hAnsi="黑体" w:eastAsia="黑体" w:cs="黑体"/>
              <w:spacing w:val="-5"/>
              <w:sz w:val="28"/>
              <w:szCs w:val="28"/>
            </w:rPr>
            <w:fldChar w:fldCharType="end"/>
          </w:r>
        </w:p>
      </w:sdtContent>
    </w:sdt>
    <w:p>
      <w:pPr>
        <w:spacing w:line="214" w:lineRule="auto"/>
        <w:rPr>
          <w:rFonts w:ascii="黑体" w:hAnsi="黑体" w:eastAsia="黑体" w:cs="黑体"/>
          <w:sz w:val="28"/>
          <w:szCs w:val="28"/>
        </w:rPr>
        <w:sectPr>
          <w:headerReference r:id="rId9" w:type="default"/>
          <w:footerReference r:id="rId10" w:type="default"/>
          <w:pgSz w:w="11906" w:h="16839"/>
          <w:pgMar w:top="1191" w:right="1785" w:bottom="1151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sdt>
      <w:sdtPr>
        <w:rPr>
          <w:rFonts w:ascii="FangSong_GB2312" w:hAnsi="FangSong_GB2312" w:eastAsia="FangSong_GB2312" w:cs="FangSong_GB2312"/>
          <w:sz w:val="30"/>
          <w:szCs w:val="30"/>
        </w:rPr>
        <w:id w:val="147470350"/>
        <w:docPartObj>
          <w:docPartGallery w:val="Table of Contents"/>
          <w:docPartUnique/>
        </w:docPartObj>
      </w:sdtPr>
      <w:sdtEndPr>
        <w:rPr>
          <w:rFonts w:ascii="黑体" w:hAnsi="黑体" w:eastAsia="黑体" w:cs="黑体"/>
          <w:sz w:val="28"/>
          <w:szCs w:val="28"/>
        </w:rPr>
      </w:sdtEndPr>
      <w:sdtContent>
        <w:p>
          <w:pPr>
            <w:pStyle w:val="2"/>
            <w:tabs>
              <w:tab w:val="right" w:leader="dot" w:pos="8320"/>
            </w:tabs>
            <w:spacing w:before="97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25" w:name="bookmark51"/>
          <w:bookmarkEnd w:id="25"/>
          <w:r>
            <w:fldChar w:fldCharType="begin"/>
          </w:r>
          <w:r>
            <w:instrText xml:space="preserve"> HYPERLINK \l "bookmark52"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（一） 构建绿色低碳循环产业体系</w:t>
          </w:r>
          <w:r>
            <w:rPr>
              <w:spacing w:val="-82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t>37</w:t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1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26" w:name="bookmark53"/>
          <w:bookmarkEnd w:id="26"/>
          <w:r>
            <w:fldChar w:fldCharType="begin"/>
          </w:r>
          <w:r>
            <w:instrText xml:space="preserve"> HYPERLINK \l "bookmark54"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（二） 强化资源高效循环利用</w:t>
          </w:r>
          <w:r>
            <w:rPr>
              <w:spacing w:val="-84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10"/>
              <w:sz w:val="30"/>
              <w:szCs w:val="30"/>
            </w:rPr>
            <w:t>41</w:t>
          </w:r>
          <w:r>
            <w:rPr>
              <w:rFonts w:ascii="Times New Roman" w:hAnsi="Times New Roman" w:eastAsia="Times New Roman" w:cs="Times New Roman"/>
              <w:spacing w:val="10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1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27" w:name="bookmark55"/>
          <w:bookmarkEnd w:id="27"/>
          <w:r>
            <w:fldChar w:fldCharType="begin"/>
          </w:r>
          <w:r>
            <w:instrText xml:space="preserve"> HYPERLINK \l "bookmark56"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（三） 提升固废及废旧物资回收利用能力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45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19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28" w:name="bookmark57"/>
          <w:bookmarkEnd w:id="28"/>
          <w:r>
            <w:fldChar w:fldCharType="begin"/>
          </w:r>
          <w:r>
            <w:instrText xml:space="preserve"> HYPERLINK \l "bookmark58"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（四） 探索生态产业化新模式</w:t>
          </w:r>
          <w:r>
            <w:rPr>
              <w:spacing w:val="-84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10"/>
              <w:sz w:val="30"/>
              <w:szCs w:val="30"/>
            </w:rPr>
            <w:t>46</w:t>
          </w:r>
          <w:r>
            <w:rPr>
              <w:rFonts w:ascii="Times New Roman" w:hAnsi="Times New Roman" w:eastAsia="Times New Roman" w:cs="Times New Roman"/>
              <w:spacing w:val="10"/>
              <w:sz w:val="30"/>
              <w:szCs w:val="30"/>
            </w:rPr>
            <w:fldChar w:fldCharType="end"/>
          </w:r>
        </w:p>
        <w:p>
          <w:pPr>
            <w:tabs>
              <w:tab w:val="right" w:leader="dot" w:pos="8320"/>
            </w:tabs>
            <w:spacing w:before="238" w:line="188" w:lineRule="auto"/>
            <w:ind w:left="23"/>
            <w:rPr>
              <w:rFonts w:ascii="黑体" w:hAnsi="黑体" w:eastAsia="黑体" w:cs="黑体"/>
              <w:sz w:val="28"/>
              <w:szCs w:val="28"/>
            </w:rPr>
          </w:pPr>
          <w:bookmarkStart w:id="29" w:name="bookmark59"/>
          <w:bookmarkEnd w:id="29"/>
          <w:r>
            <w:fldChar w:fldCharType="begin"/>
          </w:r>
          <w:r>
            <w:instrText xml:space="preserve"> HYPERLINK \l "bookmark60" </w:instrText>
          </w:r>
          <w:r>
            <w:fldChar w:fldCharType="separate"/>
          </w:r>
          <w:r>
            <w:rPr>
              <w:rFonts w:ascii="黑体" w:hAnsi="黑体" w:eastAsia="黑体" w:cs="黑体"/>
              <w:spacing w:val="-1"/>
              <w:sz w:val="28"/>
              <w:szCs w:val="28"/>
            </w:rPr>
            <w:t>七、 培育生态文化体系，厚植文明理念</w:t>
          </w:r>
          <w:r>
            <w:rPr>
              <w:rFonts w:ascii="黑体" w:hAnsi="黑体" w:eastAsia="黑体" w:cs="黑体"/>
              <w:spacing w:val="-41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z w:val="28"/>
              <w:szCs w:val="28"/>
            </w:rPr>
            <w:tab/>
          </w:r>
          <w:r>
            <w:rPr>
              <w:rFonts w:ascii="黑体" w:hAnsi="黑体" w:eastAsia="黑体" w:cs="黑体"/>
              <w:spacing w:val="-41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pacing w:val="-1"/>
              <w:sz w:val="28"/>
              <w:szCs w:val="28"/>
            </w:rPr>
            <w:t>47</w:t>
          </w:r>
          <w:r>
            <w:rPr>
              <w:rFonts w:ascii="黑体" w:hAnsi="黑体" w:eastAsia="黑体" w:cs="黑体"/>
              <w:spacing w:val="-1"/>
              <w:sz w:val="28"/>
              <w:szCs w:val="28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0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30" w:name="bookmark61"/>
          <w:bookmarkEnd w:id="30"/>
          <w:r>
            <w:fldChar w:fldCharType="begin"/>
          </w:r>
          <w:r>
            <w:instrText xml:space="preserve"> HYPERLINK \l "bookmark62"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（一） 加强历史文化整体保护传承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t>47</w:t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19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31" w:name="bookmark63"/>
          <w:bookmarkEnd w:id="31"/>
          <w:r>
            <w:fldChar w:fldCharType="begin"/>
          </w:r>
          <w:r>
            <w:instrText xml:space="preserve"> HYPERLINK \l "bookmark64"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（二） 促进生态文旅深度融合发展</w:t>
          </w:r>
          <w:r>
            <w:rPr>
              <w:spacing w:val="-82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t>48</w:t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2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32" w:name="bookmark65"/>
          <w:bookmarkEnd w:id="32"/>
          <w:r>
            <w:fldChar w:fldCharType="begin"/>
          </w:r>
          <w:r>
            <w:instrText xml:space="preserve"> HYPERLINK \l "bookmark66"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（三） 加大生态文明宣传教育力度</w:t>
          </w:r>
          <w:r>
            <w:rPr>
              <w:spacing w:val="-82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t>49</w:t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2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33" w:name="bookmark67"/>
          <w:bookmarkEnd w:id="33"/>
          <w:r>
            <w:fldChar w:fldCharType="begin"/>
          </w:r>
          <w:r>
            <w:instrText xml:space="preserve"> HYPERLINK \l "bookmark68"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（四） 畅通生态文明公众参与渠道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t>49</w:t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fldChar w:fldCharType="end"/>
          </w:r>
        </w:p>
        <w:p>
          <w:pPr>
            <w:tabs>
              <w:tab w:val="right" w:leader="dot" w:pos="8320"/>
            </w:tabs>
            <w:spacing w:before="235" w:line="188" w:lineRule="auto"/>
            <w:ind w:left="25"/>
            <w:rPr>
              <w:rFonts w:ascii="黑体" w:hAnsi="黑体" w:eastAsia="黑体" w:cs="黑体"/>
              <w:sz w:val="28"/>
              <w:szCs w:val="28"/>
            </w:rPr>
          </w:pPr>
          <w:bookmarkStart w:id="34" w:name="bookmark69"/>
          <w:bookmarkEnd w:id="34"/>
          <w:r>
            <w:fldChar w:fldCharType="begin"/>
          </w:r>
          <w:r>
            <w:instrText xml:space="preserve"> HYPERLINK \l "bookmark70" </w:instrText>
          </w:r>
          <w:r>
            <w:fldChar w:fldCharType="separate"/>
          </w:r>
          <w:r>
            <w:rPr>
              <w:rFonts w:ascii="黑体" w:hAnsi="黑体" w:eastAsia="黑体" w:cs="黑体"/>
              <w:spacing w:val="-1"/>
              <w:sz w:val="28"/>
              <w:szCs w:val="28"/>
            </w:rPr>
            <w:t>八、 健全生态制度体系，提供发展保障</w:t>
          </w:r>
          <w:r>
            <w:rPr>
              <w:rFonts w:ascii="黑体" w:hAnsi="黑体" w:eastAsia="黑体" w:cs="黑体"/>
              <w:spacing w:val="-42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z w:val="28"/>
              <w:szCs w:val="28"/>
            </w:rPr>
            <w:tab/>
          </w:r>
          <w:r>
            <w:rPr>
              <w:rFonts w:ascii="黑体" w:hAnsi="黑体" w:eastAsia="黑体" w:cs="黑体"/>
              <w:spacing w:val="-40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pacing w:val="-2"/>
              <w:sz w:val="28"/>
              <w:szCs w:val="28"/>
            </w:rPr>
            <w:t>51</w:t>
          </w:r>
          <w:r>
            <w:rPr>
              <w:rFonts w:ascii="黑体" w:hAnsi="黑体" w:eastAsia="黑体" w:cs="黑体"/>
              <w:spacing w:val="-2"/>
              <w:sz w:val="28"/>
              <w:szCs w:val="28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0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35" w:name="bookmark71"/>
          <w:bookmarkEnd w:id="35"/>
          <w:r>
            <w:fldChar w:fldCharType="begin"/>
          </w:r>
          <w:r>
            <w:instrText xml:space="preserve"> HYPERLINK \l "bookmark72"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（一） 完善生态保护与修复制度</w:t>
          </w:r>
          <w:r>
            <w:rPr>
              <w:spacing w:val="-83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8"/>
              <w:sz w:val="30"/>
              <w:szCs w:val="30"/>
            </w:rPr>
            <w:t>51</w:t>
          </w:r>
          <w:r>
            <w:rPr>
              <w:rFonts w:ascii="Times New Roman" w:hAnsi="Times New Roman" w:eastAsia="Times New Roman" w:cs="Times New Roman"/>
              <w:spacing w:val="8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2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36" w:name="bookmark73"/>
          <w:bookmarkEnd w:id="36"/>
          <w:r>
            <w:fldChar w:fldCharType="begin"/>
          </w:r>
          <w:r>
            <w:instrText xml:space="preserve"> HYPERLINK \l "bookmark74"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（二） 建立健全生态产品价值实现机制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2"/>
              <w:sz w:val="30"/>
              <w:szCs w:val="30"/>
            </w:rPr>
            <w:t>51</w:t>
          </w:r>
          <w:r>
            <w:rPr>
              <w:rFonts w:ascii="Times New Roman" w:hAnsi="Times New Roman" w:eastAsia="Times New Roman" w:cs="Times New Roman"/>
              <w:spacing w:val="2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19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37" w:name="bookmark75"/>
          <w:bookmarkEnd w:id="37"/>
          <w:r>
            <w:fldChar w:fldCharType="begin"/>
          </w:r>
          <w:r>
            <w:instrText xml:space="preserve"> HYPERLINK \l "bookmark76"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（三） 健全生态文明建设多元共治体系</w:t>
          </w:r>
          <w:r>
            <w:rPr>
              <w:spacing w:val="-80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2"/>
              <w:sz w:val="30"/>
              <w:szCs w:val="30"/>
            </w:rPr>
            <w:t>53</w:t>
          </w:r>
          <w:r>
            <w:rPr>
              <w:rFonts w:ascii="Times New Roman" w:hAnsi="Times New Roman" w:eastAsia="Times New Roman" w:cs="Times New Roman"/>
              <w:spacing w:val="2"/>
              <w:sz w:val="30"/>
              <w:szCs w:val="30"/>
            </w:rPr>
            <w:fldChar w:fldCharType="end"/>
          </w:r>
        </w:p>
        <w:p>
          <w:pPr>
            <w:tabs>
              <w:tab w:val="right" w:leader="dot" w:pos="8320"/>
            </w:tabs>
            <w:spacing w:before="238" w:line="188" w:lineRule="auto"/>
            <w:ind w:left="31"/>
            <w:rPr>
              <w:rFonts w:ascii="黑体" w:hAnsi="黑体" w:eastAsia="黑体" w:cs="黑体"/>
              <w:sz w:val="28"/>
              <w:szCs w:val="28"/>
            </w:rPr>
          </w:pPr>
          <w:bookmarkStart w:id="38" w:name="bookmark77"/>
          <w:bookmarkEnd w:id="38"/>
          <w:r>
            <w:fldChar w:fldCharType="begin"/>
          </w:r>
          <w:r>
            <w:instrText xml:space="preserve"> HYPERLINK \l "bookmark78" </w:instrText>
          </w:r>
          <w:r>
            <w:fldChar w:fldCharType="separate"/>
          </w:r>
          <w:r>
            <w:rPr>
              <w:rFonts w:ascii="黑体" w:hAnsi="黑体" w:eastAsia="黑体" w:cs="黑体"/>
              <w:spacing w:val="-3"/>
              <w:sz w:val="28"/>
              <w:szCs w:val="28"/>
            </w:rPr>
            <w:t>九、 保障措施</w:t>
          </w:r>
          <w:r>
            <w:rPr>
              <w:rFonts w:ascii="黑体" w:hAnsi="黑体" w:eastAsia="黑体" w:cs="黑体"/>
              <w:spacing w:val="-47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z w:val="28"/>
              <w:szCs w:val="28"/>
            </w:rPr>
            <w:tab/>
          </w:r>
          <w:r>
            <w:rPr>
              <w:rFonts w:ascii="黑体" w:hAnsi="黑体" w:eastAsia="黑体" w:cs="黑体"/>
              <w:spacing w:val="-61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pacing w:val="-2"/>
              <w:sz w:val="28"/>
              <w:szCs w:val="28"/>
            </w:rPr>
            <w:t>55</w:t>
          </w:r>
          <w:r>
            <w:rPr>
              <w:rFonts w:ascii="黑体" w:hAnsi="黑体" w:eastAsia="黑体" w:cs="黑体"/>
              <w:spacing w:val="-2"/>
              <w:sz w:val="28"/>
              <w:szCs w:val="28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19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39" w:name="bookmark79"/>
          <w:bookmarkEnd w:id="39"/>
          <w:r>
            <w:fldChar w:fldCharType="begin"/>
          </w:r>
          <w:r>
            <w:instrText xml:space="preserve"> HYPERLINK \l "bookmark80"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（一） 组织保障</w:t>
          </w:r>
          <w:r>
            <w:rPr>
              <w:sz w:val="30"/>
              <w:szCs w:val="30"/>
            </w:rPr>
            <w:tab/>
          </w:r>
          <w:r>
            <w:rPr>
              <w:spacing w:val="-92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t>55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0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40" w:name="bookmark81"/>
          <w:bookmarkEnd w:id="40"/>
          <w:r>
            <w:fldChar w:fldCharType="begin"/>
          </w:r>
          <w:r>
            <w:instrText xml:space="preserve"> HYPERLINK \l "bookmark82" </w:instrText>
          </w:r>
          <w:r>
            <w:fldChar w:fldCharType="separate"/>
          </w:r>
          <w:r>
            <w:rPr>
              <w:spacing w:val="-4"/>
              <w:sz w:val="30"/>
              <w:szCs w:val="30"/>
            </w:rPr>
            <w:t>（二）</w:t>
          </w:r>
          <w:r>
            <w:rPr>
              <w:spacing w:val="20"/>
              <w:sz w:val="30"/>
              <w:szCs w:val="30"/>
            </w:rPr>
            <w:t xml:space="preserve"> </w:t>
          </w:r>
          <w:r>
            <w:rPr>
              <w:spacing w:val="-4"/>
              <w:sz w:val="30"/>
              <w:szCs w:val="30"/>
            </w:rPr>
            <w:t>法制保障</w:t>
          </w:r>
          <w:r>
            <w:rPr>
              <w:spacing w:val="-90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spacing w:val="-92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t>56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2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41" w:name="bookmark83"/>
          <w:bookmarkEnd w:id="41"/>
          <w:r>
            <w:fldChar w:fldCharType="begin"/>
          </w:r>
          <w:r>
            <w:instrText xml:space="preserve"> HYPERLINK \l "bookmark84"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（三） 政策保障</w:t>
          </w:r>
          <w:r>
            <w:rPr>
              <w:spacing w:val="-90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spacing w:val="-92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t>56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1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42" w:name="bookmark85"/>
          <w:bookmarkEnd w:id="42"/>
          <w:r>
            <w:fldChar w:fldCharType="begin"/>
          </w:r>
          <w:r>
            <w:instrText xml:space="preserve"> HYPERLINK \l "bookmark86" </w:instrText>
          </w:r>
          <w:r>
            <w:fldChar w:fldCharType="separate"/>
          </w:r>
          <w:r>
            <w:rPr>
              <w:spacing w:val="-5"/>
              <w:sz w:val="30"/>
              <w:szCs w:val="30"/>
            </w:rPr>
            <w:t>（四）</w:t>
          </w:r>
          <w:r>
            <w:rPr>
              <w:spacing w:val="27"/>
              <w:sz w:val="30"/>
              <w:szCs w:val="30"/>
            </w:rPr>
            <w:t xml:space="preserve"> </w:t>
          </w:r>
          <w:r>
            <w:rPr>
              <w:spacing w:val="-5"/>
              <w:sz w:val="30"/>
              <w:szCs w:val="30"/>
            </w:rPr>
            <w:t>资金保障</w:t>
          </w:r>
          <w:r>
            <w:rPr>
              <w:sz w:val="30"/>
              <w:szCs w:val="30"/>
            </w:rPr>
            <w:tab/>
          </w:r>
          <w:r>
            <w:rPr>
              <w:spacing w:val="-92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t>56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fldChar w:fldCharType="end"/>
          </w:r>
        </w:p>
        <w:p>
          <w:pPr>
            <w:pStyle w:val="2"/>
            <w:tabs>
              <w:tab w:val="right" w:leader="dot" w:pos="8320"/>
            </w:tabs>
            <w:spacing w:before="220" w:line="184" w:lineRule="auto"/>
            <w:ind w:left="43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43" w:name="bookmark87"/>
          <w:bookmarkEnd w:id="43"/>
          <w:r>
            <w:fldChar w:fldCharType="begin"/>
          </w:r>
          <w:r>
            <w:instrText xml:space="preserve"> HYPERLINK \l "bookmark88" </w:instrText>
          </w:r>
          <w:r>
            <w:fldChar w:fldCharType="separate"/>
          </w:r>
          <w:r>
            <w:rPr>
              <w:spacing w:val="-1"/>
              <w:sz w:val="30"/>
              <w:szCs w:val="30"/>
            </w:rPr>
            <w:t>（五） 社会保障</w:t>
          </w:r>
          <w:r>
            <w:rPr>
              <w:spacing w:val="-90"/>
              <w:sz w:val="30"/>
              <w:szCs w:val="30"/>
            </w:rPr>
            <w:t xml:space="preserve"> </w:t>
          </w:r>
          <w:r>
            <w:rPr>
              <w:sz w:val="30"/>
              <w:szCs w:val="30"/>
            </w:rPr>
            <w:tab/>
          </w:r>
          <w:r>
            <w:rPr>
              <w:spacing w:val="-92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t>57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fldChar w:fldCharType="end"/>
          </w:r>
        </w:p>
        <w:p>
          <w:pPr>
            <w:tabs>
              <w:tab w:val="right" w:leader="dot" w:pos="8320"/>
            </w:tabs>
            <w:spacing w:before="238" w:line="222" w:lineRule="auto"/>
            <w:ind w:left="40"/>
            <w:rPr>
              <w:rFonts w:ascii="黑体" w:hAnsi="黑体" w:eastAsia="黑体" w:cs="黑体"/>
              <w:sz w:val="28"/>
              <w:szCs w:val="28"/>
            </w:rPr>
          </w:pPr>
          <w:bookmarkStart w:id="44" w:name="bookmark89"/>
          <w:bookmarkEnd w:id="44"/>
          <w:r>
            <w:fldChar w:fldCharType="begin"/>
          </w:r>
          <w:r>
            <w:instrText xml:space="preserve"> HYPERLINK \l "bookmark90" </w:instrText>
          </w:r>
          <w:r>
            <w:fldChar w:fldCharType="separate"/>
          </w:r>
          <w:r>
            <w:rPr>
              <w:rFonts w:ascii="黑体" w:hAnsi="黑体" w:eastAsia="黑体" w:cs="黑体"/>
              <w:spacing w:val="-3"/>
              <w:sz w:val="28"/>
              <w:szCs w:val="28"/>
            </w:rPr>
            <w:t>附录：重点工程项目清单</w:t>
          </w:r>
          <w:r>
            <w:rPr>
              <w:rFonts w:ascii="黑体" w:hAnsi="黑体" w:eastAsia="黑体" w:cs="黑体"/>
              <w:spacing w:val="-44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z w:val="28"/>
              <w:szCs w:val="28"/>
            </w:rPr>
            <w:tab/>
          </w:r>
          <w:r>
            <w:rPr>
              <w:rFonts w:ascii="黑体" w:hAnsi="黑体" w:eastAsia="黑体" w:cs="黑体"/>
              <w:spacing w:val="-52"/>
              <w:sz w:val="28"/>
              <w:szCs w:val="28"/>
            </w:rPr>
            <w:t xml:space="preserve"> </w:t>
          </w:r>
          <w:r>
            <w:rPr>
              <w:rFonts w:ascii="黑体" w:hAnsi="黑体" w:eastAsia="黑体" w:cs="黑体"/>
              <w:spacing w:val="-2"/>
              <w:sz w:val="28"/>
              <w:szCs w:val="28"/>
            </w:rPr>
            <w:t>59</w:t>
          </w:r>
          <w:r>
            <w:rPr>
              <w:rFonts w:ascii="黑体" w:hAnsi="黑体" w:eastAsia="黑体" w:cs="黑体"/>
              <w:spacing w:val="-2"/>
              <w:sz w:val="28"/>
              <w:szCs w:val="28"/>
            </w:rPr>
            <w:fldChar w:fldCharType="end"/>
          </w:r>
        </w:p>
      </w:sdtContent>
    </w:sdt>
    <w:p>
      <w:pPr>
        <w:spacing w:line="222" w:lineRule="auto"/>
        <w:rPr>
          <w:rFonts w:ascii="黑体" w:hAnsi="黑体" w:eastAsia="黑体" w:cs="黑体"/>
          <w:sz w:val="28"/>
          <w:szCs w:val="28"/>
        </w:rPr>
        <w:sectPr>
          <w:footerReference r:id="rId11" w:type="default"/>
          <w:pgSz w:w="11906" w:h="16839"/>
          <w:pgMar w:top="1191" w:right="1785" w:bottom="1152" w:left="1785" w:header="882" w:footer="987" w:gutter="0"/>
          <w:cols w:space="720" w:num="1"/>
        </w:sectPr>
      </w:pPr>
    </w:p>
    <w:p>
      <w:pPr>
        <w:spacing w:line="455" w:lineRule="auto"/>
        <w:rPr>
          <w:rFonts w:ascii="Arial"/>
          <w:sz w:val="21"/>
        </w:rPr>
      </w:pPr>
    </w:p>
    <w:p>
      <w:pPr>
        <w:spacing w:before="101" w:line="226" w:lineRule="auto"/>
        <w:ind w:left="31"/>
        <w:outlineLvl w:val="1"/>
        <w:rPr>
          <w:rFonts w:ascii="黑体" w:hAnsi="黑体" w:eastAsia="黑体" w:cs="黑体"/>
          <w:sz w:val="31"/>
          <w:szCs w:val="31"/>
        </w:rPr>
      </w:pPr>
      <w:bookmarkStart w:id="45" w:name="bookmark2"/>
      <w:bookmarkEnd w:id="45"/>
      <w:bookmarkStart w:id="46" w:name="bookmark4"/>
      <w:bookmarkEnd w:id="46"/>
      <w:r>
        <w:rPr>
          <w:rFonts w:ascii="黑体" w:hAnsi="黑体" w:eastAsia="黑体" w:cs="黑体"/>
          <w:b/>
          <w:bCs/>
          <w:spacing w:val="5"/>
          <w:sz w:val="31"/>
          <w:szCs w:val="31"/>
        </w:rPr>
        <w:t>一、发展基础和形势</w:t>
      </w:r>
    </w:p>
    <w:p>
      <w:pPr>
        <w:spacing w:before="248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6"/>
          <w:sz w:val="30"/>
          <w:szCs w:val="30"/>
        </w:rPr>
        <w:t>（一）基础条件</w:t>
      </w:r>
    </w:p>
    <w:p>
      <w:pPr>
        <w:spacing w:before="162" w:line="219" w:lineRule="auto"/>
        <w:ind w:left="35"/>
        <w:outlineLvl w:val="3"/>
        <w:rPr>
          <w:rFonts w:ascii="宋体" w:hAnsi="宋体" w:eastAsia="宋体" w:cs="宋体"/>
          <w:sz w:val="30"/>
          <w:szCs w:val="30"/>
        </w:rPr>
      </w:pPr>
      <w:r>
        <w:rPr>
          <w:rFonts w:ascii="Calibri" w:hAnsi="Calibri" w:eastAsia="Calibri" w:cs="Calibri"/>
          <w:b/>
          <w:bCs/>
          <w:spacing w:val="-11"/>
          <w:sz w:val="30"/>
          <w:szCs w:val="30"/>
        </w:rPr>
        <w:t>1</w:t>
      </w:r>
      <w:r>
        <w:rPr>
          <w:rFonts w:ascii="Calibri" w:hAnsi="Calibri" w:eastAsia="Calibri" w:cs="Calibri"/>
          <w:b/>
          <w:bCs/>
          <w:spacing w:val="-36"/>
          <w:sz w:val="30"/>
          <w:szCs w:val="30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0"/>
          <w:szCs w:val="30"/>
        </w:rPr>
        <w:t>、区域特征</w:t>
      </w:r>
    </w:p>
    <w:p>
      <w:pPr>
        <w:pStyle w:val="2"/>
        <w:spacing w:before="162" w:line="315" w:lineRule="auto"/>
        <w:ind w:left="24" w:right="33" w:firstLine="642"/>
        <w:jc w:val="both"/>
        <w:rPr>
          <w:sz w:val="30"/>
          <w:szCs w:val="30"/>
        </w:rPr>
      </w:pPr>
      <w:r>
        <w:rPr>
          <w:b/>
          <w:bCs/>
          <w:spacing w:val="-7"/>
          <w:sz w:val="30"/>
          <w:szCs w:val="30"/>
        </w:rPr>
        <w:t>区位优势明显。</w:t>
      </w:r>
      <w:r>
        <w:rPr>
          <w:spacing w:val="-7"/>
          <w:sz w:val="30"/>
          <w:szCs w:val="30"/>
        </w:rPr>
        <w:t>根河市位于大兴安岭北段西坡、呼伦贝尔市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北部，是中国纬度最高的城市之一，也是联系大兴安岭南北与东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西的枢纽城市。根河是内蒙古至黑龙江的重要通道，目前已形成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完善的公路、铁路和航空立体交通格局。根河至黑龙江漠河的黄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金旅游通道将根河市特色旅游资源、景观资源串联，形成独具风</w:t>
      </w:r>
      <w:r>
        <w:rPr>
          <w:spacing w:val="6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格的“大兴安岭一路向北风景道”。</w:t>
      </w:r>
    </w:p>
    <w:p>
      <w:pPr>
        <w:pStyle w:val="2"/>
        <w:spacing w:before="43" w:line="316" w:lineRule="auto"/>
        <w:ind w:left="24" w:right="33" w:firstLine="597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根河是呼伦贝尔大草原、东北平原乃至东北亚地区的重要生</w:t>
      </w:r>
      <w:r>
        <w:rPr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态屏障，在国家生态全局中具有特殊的战略地位。是国家“两屏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三带”生态安全战略格局、“三区四带”生态系统保护修复战略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格局和自治区“三山两带一弯多廊多点”生态安全格局的重要组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成部分，承担着筑牢祖国北方生态安全屏障，维护国家生态安全</w:t>
      </w:r>
      <w:r>
        <w:rPr>
          <w:spacing w:val="6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的重大使命。</w:t>
      </w:r>
    </w:p>
    <w:p>
      <w:pPr>
        <w:pStyle w:val="2"/>
        <w:spacing w:before="52" w:line="315" w:lineRule="auto"/>
        <w:ind w:left="25" w:firstLine="613"/>
        <w:jc w:val="both"/>
        <w:rPr>
          <w:sz w:val="30"/>
          <w:szCs w:val="30"/>
        </w:rPr>
      </w:pPr>
      <w:r>
        <w:rPr>
          <w:b/>
          <w:bCs/>
          <w:spacing w:val="-6"/>
          <w:sz w:val="30"/>
          <w:szCs w:val="30"/>
        </w:rPr>
        <w:t>气候资源独特。</w:t>
      </w:r>
      <w:r>
        <w:rPr>
          <w:spacing w:val="-6"/>
          <w:sz w:val="30"/>
          <w:szCs w:val="30"/>
        </w:rPr>
        <w:t>根河市属寒温带湿润森林气候区，仅南端兼</w:t>
      </w:r>
      <w:r>
        <w:rPr>
          <w:spacing w:val="14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有向半湿润森林草原过渡的趋向。主要气候特点是寒冷、湿润、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风力小、冬长无夏、春秋相连。气温年、日差较大，光、热、水</w:t>
      </w:r>
      <w:r>
        <w:rPr>
          <w:spacing w:val="3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季节变化明显，南北温差大，雨热同季，降水集中但分布不均。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年平均气温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-7</w:t>
      </w:r>
      <w:r>
        <w:rPr>
          <w:spacing w:val="-4"/>
          <w:sz w:val="30"/>
          <w:szCs w:val="30"/>
        </w:rPr>
        <w:t>℃</w:t>
      </w:r>
      <w:r>
        <w:rPr>
          <w:spacing w:val="-6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~</w:t>
      </w:r>
      <w:r>
        <w:rPr>
          <w:spacing w:val="-5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-4</w:t>
      </w:r>
      <w:r>
        <w:rPr>
          <w:spacing w:val="-4"/>
          <w:sz w:val="30"/>
          <w:szCs w:val="30"/>
        </w:rPr>
        <w:t>℃</w:t>
      </w:r>
      <w:r>
        <w:rPr>
          <w:spacing w:val="-10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,</w:t>
      </w:r>
      <w:r>
        <w:rPr>
          <w:spacing w:val="8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极端最低气温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-58</w:t>
      </w:r>
      <w:r>
        <w:rPr>
          <w:spacing w:val="-4"/>
          <w:sz w:val="30"/>
          <w:szCs w:val="30"/>
        </w:rPr>
        <w:t>℃</w:t>
      </w:r>
      <w:r>
        <w:rPr>
          <w:spacing w:val="-10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,</w:t>
      </w:r>
      <w:r>
        <w:rPr>
          <w:spacing w:val="9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无霜期较短，为</w:t>
      </w:r>
      <w:r>
        <w:rPr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70</w:t>
      </w:r>
      <w:r>
        <w:rPr>
          <w:rFonts w:ascii="Times New Roman" w:hAnsi="Times New Roman" w:eastAsia="Times New Roman" w:cs="Times New Roman"/>
          <w:spacing w:val="18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天左右，最低年份只有</w:t>
      </w:r>
      <w:r>
        <w:rPr>
          <w:spacing w:val="-6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24</w:t>
      </w:r>
      <w:r>
        <w:rPr>
          <w:rFonts w:ascii="Times New Roman" w:hAnsi="Times New Roman" w:eastAsia="Times New Roman" w:cs="Times New Roman"/>
          <w:spacing w:val="18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天，冬季积</w:t>
      </w:r>
      <w:r>
        <w:rPr>
          <w:spacing w:val="-4"/>
          <w:sz w:val="30"/>
          <w:szCs w:val="30"/>
        </w:rPr>
        <w:t>雪长达</w:t>
      </w:r>
      <w:r>
        <w:rPr>
          <w:spacing w:val="-6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220</w:t>
      </w:r>
      <w:r>
        <w:rPr>
          <w:rFonts w:ascii="Times New Roman" w:hAnsi="Times New Roman" w:eastAsia="Times New Roman" w:cs="Times New Roman"/>
          <w:spacing w:val="1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天左右，结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冰期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210</w:t>
      </w:r>
      <w:r>
        <w:rPr>
          <w:rFonts w:ascii="Times New Roman" w:hAnsi="Times New Roman" w:eastAsia="Times New Roman" w:cs="Times New Roman"/>
          <w:spacing w:val="21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天左右，是中国最冷的城市，素有“</w:t>
      </w:r>
      <w:r>
        <w:rPr>
          <w:spacing w:val="-104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中国冷极”之称。</w:t>
      </w:r>
    </w:p>
    <w:p>
      <w:pPr>
        <w:pStyle w:val="2"/>
        <w:spacing w:before="51" w:line="312" w:lineRule="auto"/>
        <w:ind w:left="25" w:right="33" w:firstLine="654"/>
        <w:jc w:val="both"/>
        <w:rPr>
          <w:sz w:val="30"/>
          <w:szCs w:val="30"/>
        </w:rPr>
      </w:pPr>
      <w:r>
        <w:rPr>
          <w:b/>
          <w:bCs/>
          <w:spacing w:val="-2"/>
          <w:sz w:val="30"/>
          <w:szCs w:val="30"/>
        </w:rPr>
        <w:t>自然资源丰富。</w:t>
      </w:r>
      <w:r>
        <w:rPr>
          <w:spacing w:val="-2"/>
          <w:sz w:val="30"/>
          <w:szCs w:val="30"/>
        </w:rPr>
        <w:t>根河市森林覆盖率</w:t>
      </w:r>
      <w:r>
        <w:rPr>
          <w:spacing w:val="-5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91.75%</w:t>
      </w:r>
      <w:r>
        <w:rPr>
          <w:rFonts w:ascii="Times New Roman" w:hAnsi="Times New Roman" w:eastAsia="Times New Roman" w:cs="Times New Roman"/>
          <w:spacing w:val="-29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，是全国森林覆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盖率最高的县级市。受大兴安岭地形和茂密的森林植被影响，汇</w:t>
      </w:r>
      <w:r>
        <w:rPr>
          <w:spacing w:val="5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流条件好，境内河流众多，纵横交错，河长在</w:t>
      </w:r>
      <w:r>
        <w:rPr>
          <w:spacing w:val="-6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20 </w:t>
      </w:r>
      <w:r>
        <w:rPr>
          <w:spacing w:val="1"/>
          <w:sz w:val="30"/>
          <w:szCs w:val="30"/>
        </w:rPr>
        <w:t>公里以上、流</w:t>
      </w:r>
      <w:r>
        <w:rPr>
          <w:sz w:val="30"/>
          <w:szCs w:val="30"/>
        </w:rPr>
        <w:t xml:space="preserve"> </w:t>
      </w:r>
      <w:r>
        <w:rPr>
          <w:spacing w:val="3"/>
          <w:sz w:val="30"/>
          <w:szCs w:val="30"/>
        </w:rPr>
        <w:t>域面积超过</w:t>
      </w:r>
      <w:r>
        <w:rPr>
          <w:spacing w:val="-3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 xml:space="preserve">100 </w:t>
      </w:r>
      <w:r>
        <w:rPr>
          <w:spacing w:val="3"/>
          <w:sz w:val="30"/>
          <w:szCs w:val="30"/>
        </w:rPr>
        <w:t>平方公里的河流有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>37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 </w:t>
      </w:r>
      <w:r>
        <w:rPr>
          <w:spacing w:val="2"/>
          <w:sz w:val="30"/>
          <w:szCs w:val="30"/>
        </w:rPr>
        <w:t>条。生物多样性丰富，野</w:t>
      </w:r>
    </w:p>
    <w:p>
      <w:pPr>
        <w:spacing w:line="312" w:lineRule="auto"/>
        <w:rPr>
          <w:sz w:val="30"/>
          <w:szCs w:val="30"/>
        </w:rPr>
        <w:sectPr>
          <w:headerReference r:id="rId12" w:type="default"/>
          <w:footerReference r:id="rId13" w:type="default"/>
          <w:pgSz w:w="11906" w:h="16839"/>
          <w:pgMar w:top="1191" w:right="1766" w:bottom="1151" w:left="1785" w:header="882" w:footer="987" w:gutter="0"/>
          <w:cols w:space="720" w:num="1"/>
        </w:sectPr>
      </w:pPr>
    </w:p>
    <w:p>
      <w:pPr>
        <w:spacing w:line="309" w:lineRule="auto"/>
        <w:rPr>
          <w:rFonts w:ascii="Arial"/>
          <w:sz w:val="21"/>
        </w:rPr>
      </w:pPr>
    </w:p>
    <w:p>
      <w:pPr>
        <w:pStyle w:val="2"/>
        <w:spacing w:before="98" w:line="316" w:lineRule="auto"/>
        <w:ind w:left="18" w:right="144" w:firstLine="25"/>
        <w:rPr>
          <w:sz w:val="30"/>
          <w:szCs w:val="30"/>
        </w:rPr>
      </w:pPr>
      <w:r>
        <w:rPr>
          <w:spacing w:val="-5"/>
          <w:sz w:val="30"/>
          <w:szCs w:val="30"/>
        </w:rPr>
        <w:t>生植物主要有维管植物、苔藓植物、藻类植物和真菌等；维管束</w:t>
      </w:r>
      <w:r>
        <w:rPr>
          <w:spacing w:val="14"/>
          <w:sz w:val="30"/>
          <w:szCs w:val="30"/>
        </w:rPr>
        <w:t xml:space="preserve"> </w:t>
      </w:r>
      <w:r>
        <w:rPr>
          <w:sz w:val="30"/>
          <w:szCs w:val="30"/>
        </w:rPr>
        <w:t>植物共有</w:t>
      </w:r>
      <w:r>
        <w:rPr>
          <w:spacing w:val="-5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80 </w:t>
      </w:r>
      <w:r>
        <w:rPr>
          <w:sz w:val="30"/>
          <w:szCs w:val="30"/>
        </w:rPr>
        <w:t>科、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272 </w:t>
      </w:r>
      <w:r>
        <w:rPr>
          <w:sz w:val="30"/>
          <w:szCs w:val="30"/>
        </w:rPr>
        <w:t>属、</w:t>
      </w:r>
      <w:r>
        <w:rPr>
          <w:rFonts w:ascii="Times New Roman" w:hAnsi="Times New Roman" w:eastAsia="Times New Roman" w:cs="Times New Roman"/>
          <w:sz w:val="30"/>
          <w:szCs w:val="30"/>
        </w:rPr>
        <w:t>593</w:t>
      </w:r>
      <w:r>
        <w:rPr>
          <w:rFonts w:ascii="Times New Roman" w:hAnsi="Times New Roman" w:eastAsia="Times New Roman" w:cs="Times New Roman"/>
          <w:spacing w:val="22"/>
          <w:sz w:val="30"/>
          <w:szCs w:val="30"/>
        </w:rPr>
        <w:t xml:space="preserve"> </w:t>
      </w:r>
      <w:r>
        <w:rPr>
          <w:sz w:val="30"/>
          <w:szCs w:val="30"/>
        </w:rPr>
        <w:t>种（不包括外来种</w:t>
      </w:r>
      <w:r>
        <w:rPr>
          <w:spacing w:val="19"/>
          <w:sz w:val="30"/>
          <w:szCs w:val="30"/>
        </w:rPr>
        <w:t>），</w:t>
      </w:r>
      <w:r>
        <w:rPr>
          <w:sz w:val="30"/>
          <w:szCs w:val="30"/>
        </w:rPr>
        <w:t>真菌有</w:t>
      </w:r>
      <w:r>
        <w:rPr>
          <w:spacing w:val="-3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18  </w:t>
      </w:r>
      <w:r>
        <w:rPr>
          <w:spacing w:val="2"/>
          <w:sz w:val="30"/>
          <w:szCs w:val="30"/>
        </w:rPr>
        <w:t>科、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58 </w:t>
      </w:r>
      <w:r>
        <w:rPr>
          <w:spacing w:val="2"/>
          <w:sz w:val="30"/>
          <w:szCs w:val="30"/>
        </w:rPr>
        <w:t>属、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114 </w:t>
      </w:r>
      <w:r>
        <w:rPr>
          <w:spacing w:val="2"/>
          <w:sz w:val="30"/>
          <w:szCs w:val="30"/>
        </w:rPr>
        <w:t>种，其中草药用</w:t>
      </w:r>
      <w:r>
        <w:rPr>
          <w:spacing w:val="-6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22 </w:t>
      </w:r>
      <w:r>
        <w:rPr>
          <w:spacing w:val="2"/>
          <w:sz w:val="30"/>
          <w:szCs w:val="30"/>
        </w:rPr>
        <w:t>种；野生动物约</w:t>
      </w:r>
      <w:r>
        <w:rPr>
          <w:spacing w:val="-6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300 </w:t>
      </w:r>
      <w:r>
        <w:rPr>
          <w:spacing w:val="1"/>
          <w:sz w:val="30"/>
          <w:szCs w:val="30"/>
        </w:rPr>
        <w:t>余种，</w:t>
      </w:r>
      <w:r>
        <w:rPr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以林栖型为主，分布具有明显的地带性。国家</w:t>
      </w:r>
      <w:r>
        <w:rPr>
          <w:spacing w:val="-6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I</w:t>
      </w:r>
      <w:r>
        <w:rPr>
          <w:rFonts w:ascii="Times New Roman" w:hAnsi="Times New Roman" w:eastAsia="Times New Roman" w:cs="Times New Roman"/>
          <w:spacing w:val="25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级重点保护野生</w:t>
      </w:r>
      <w:r>
        <w:rPr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动物</w:t>
      </w:r>
      <w:r>
        <w:rPr>
          <w:spacing w:val="-2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11</w:t>
      </w:r>
      <w:r>
        <w:rPr>
          <w:rFonts w:ascii="Times New Roman" w:hAnsi="Times New Roman" w:eastAsia="Times New Roman" w:cs="Times New Roman"/>
          <w:spacing w:val="20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种，国家</w:t>
      </w:r>
      <w:r>
        <w:rPr>
          <w:spacing w:val="-6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II</w:t>
      </w:r>
      <w:r>
        <w:rPr>
          <w:rFonts w:ascii="Times New Roman" w:hAnsi="Times New Roman" w:eastAsia="Times New Roman" w:cs="Times New Roman"/>
          <w:spacing w:val="30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级重点保护野生动物</w:t>
      </w:r>
      <w:r>
        <w:rPr>
          <w:spacing w:val="-5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52</w:t>
      </w:r>
      <w:r>
        <w:rPr>
          <w:rFonts w:ascii="Times New Roman" w:hAnsi="Times New Roman" w:eastAsia="Times New Roman" w:cs="Times New Roman"/>
          <w:spacing w:val="19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种，国家</w:t>
      </w:r>
      <w:r>
        <w:rPr>
          <w:spacing w:val="-6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II</w:t>
      </w:r>
      <w:r>
        <w:rPr>
          <w:rFonts w:ascii="Times New Roman" w:hAnsi="Times New Roman" w:eastAsia="Times New Roman" w:cs="Times New Roman"/>
          <w:spacing w:val="29"/>
          <w:w w:val="101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级重点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保护野生植物</w:t>
      </w:r>
      <w:r>
        <w:rPr>
          <w:spacing w:val="-5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 xml:space="preserve">8 </w:t>
      </w:r>
      <w:r>
        <w:rPr>
          <w:spacing w:val="-4"/>
          <w:sz w:val="30"/>
          <w:szCs w:val="30"/>
        </w:rPr>
        <w:t>种。根河市处于得尔布干成矿带东北端，得</w:t>
      </w:r>
      <w:r>
        <w:rPr>
          <w:spacing w:val="-5"/>
          <w:sz w:val="30"/>
          <w:szCs w:val="30"/>
        </w:rPr>
        <w:t>尔布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干深大断裂呈东北向展布于市区中部，受其影响区内地质构造复</w:t>
      </w:r>
      <w:r>
        <w:rPr>
          <w:spacing w:val="12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杂，火山岩浆活动频繁，成矿地质条件优越，金属矿产蕴藏丰富。</w:t>
      </w:r>
    </w:p>
    <w:p>
      <w:pPr>
        <w:pStyle w:val="2"/>
        <w:spacing w:before="47" w:line="316" w:lineRule="auto"/>
        <w:ind w:left="19" w:right="186" w:firstLine="625"/>
        <w:rPr>
          <w:sz w:val="30"/>
          <w:szCs w:val="30"/>
        </w:rPr>
      </w:pPr>
      <w:r>
        <w:rPr>
          <w:b/>
          <w:bCs/>
          <w:spacing w:val="-4"/>
          <w:sz w:val="30"/>
          <w:szCs w:val="30"/>
        </w:rPr>
        <w:t>生态环境优越。</w:t>
      </w:r>
      <w:r>
        <w:rPr>
          <w:spacing w:val="-4"/>
          <w:sz w:val="30"/>
          <w:szCs w:val="30"/>
        </w:rPr>
        <w:t>依托高森林覆盖率，以及持续开展的</w:t>
      </w:r>
      <w:r>
        <w:rPr>
          <w:spacing w:val="-5"/>
          <w:sz w:val="30"/>
          <w:szCs w:val="30"/>
        </w:rPr>
        <w:t>蓝天、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碧水、净土保卫战，多年来空气质量优良天数比例保持</w:t>
      </w:r>
      <w:r>
        <w:rPr>
          <w:spacing w:val="-2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100%</w:t>
      </w:r>
      <w:r>
        <w:rPr>
          <w:rFonts w:ascii="Times New Roman" w:hAnsi="Times New Roman" w:eastAsia="Times New Roman" w:cs="Times New Roman"/>
          <w:spacing w:val="-34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，</w:t>
      </w:r>
      <w:r>
        <w:rPr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PM2.5</w:t>
      </w:r>
      <w:r>
        <w:rPr>
          <w:rFonts w:ascii="Times New Roman" w:hAnsi="Times New Roman" w:eastAsia="Times New Roman" w:cs="Times New Roman"/>
          <w:spacing w:val="3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浓度均达到《环境空气质量标准》（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GB3095-2012</w:t>
      </w:r>
      <w:r>
        <w:rPr>
          <w:spacing w:val="-1"/>
          <w:sz w:val="30"/>
          <w:szCs w:val="30"/>
        </w:rPr>
        <w:t>）中年</w:t>
      </w:r>
      <w:r>
        <w:rPr>
          <w:sz w:val="30"/>
          <w:szCs w:val="30"/>
        </w:rPr>
        <w:t xml:space="preserve"> </w:t>
      </w:r>
      <w:r>
        <w:rPr>
          <w:spacing w:val="-14"/>
          <w:sz w:val="30"/>
          <w:szCs w:val="30"/>
        </w:rPr>
        <w:t>平均一级浓度限值；水环境质量持续改善，根河被水利部评为“生</w:t>
      </w:r>
      <w:r>
        <w:rPr>
          <w:spacing w:val="6"/>
          <w:sz w:val="30"/>
          <w:szCs w:val="30"/>
        </w:rPr>
        <w:t xml:space="preserve"> 态河流”，全域范围内无劣</w:t>
      </w:r>
      <w:r>
        <w:rPr>
          <w:rFonts w:ascii="Times New Roman" w:hAnsi="Times New Roman" w:eastAsia="Times New Roman" w:cs="Times New Roman"/>
          <w:spacing w:val="6"/>
          <w:sz w:val="30"/>
          <w:szCs w:val="30"/>
        </w:rPr>
        <w:t>V</w:t>
      </w:r>
      <w:r>
        <w:rPr>
          <w:rFonts w:ascii="Times New Roman" w:hAnsi="Times New Roman" w:eastAsia="Times New Roman" w:cs="Times New Roman"/>
          <w:spacing w:val="46"/>
          <w:sz w:val="30"/>
          <w:szCs w:val="30"/>
        </w:rPr>
        <w:t xml:space="preserve"> </w:t>
      </w:r>
      <w:r>
        <w:rPr>
          <w:spacing w:val="6"/>
          <w:sz w:val="30"/>
          <w:szCs w:val="30"/>
        </w:rPr>
        <w:t>类水体，无黑臭水体；土壤环境</w:t>
      </w:r>
      <w:r>
        <w:rPr>
          <w:sz w:val="30"/>
          <w:szCs w:val="30"/>
        </w:rPr>
        <w:t xml:space="preserve"> 质量保持稳定，无疑似污染地块，建设用地安</w:t>
      </w:r>
      <w:r>
        <w:rPr>
          <w:spacing w:val="-1"/>
          <w:sz w:val="30"/>
          <w:szCs w:val="30"/>
        </w:rPr>
        <w:t xml:space="preserve">全利用率 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100%</w:t>
      </w:r>
      <w:r>
        <w:rPr>
          <w:spacing w:val="-1"/>
          <w:sz w:val="30"/>
          <w:szCs w:val="30"/>
        </w:rPr>
        <w:t>；</w:t>
      </w:r>
      <w:r>
        <w:rPr>
          <w:sz w:val="30"/>
          <w:szCs w:val="30"/>
        </w:rPr>
        <w:t xml:space="preserve"> 生态质量指数（</w:t>
      </w:r>
      <w:r>
        <w:rPr>
          <w:rFonts w:ascii="Times New Roman" w:hAnsi="Times New Roman" w:eastAsia="Times New Roman" w:cs="Times New Roman"/>
          <w:sz w:val="30"/>
          <w:szCs w:val="30"/>
        </w:rPr>
        <w:t>EQI</w:t>
      </w:r>
      <w:r>
        <w:rPr>
          <w:sz w:val="30"/>
          <w:szCs w:val="30"/>
        </w:rPr>
        <w:t xml:space="preserve">）保持基本稳定，生态环境持续改善，为生 </w:t>
      </w:r>
      <w:r>
        <w:rPr>
          <w:spacing w:val="-1"/>
          <w:sz w:val="30"/>
          <w:szCs w:val="30"/>
        </w:rPr>
        <w:t>物多样性保护提供了良好生态环境保障。</w:t>
      </w:r>
    </w:p>
    <w:p>
      <w:pPr>
        <w:pStyle w:val="2"/>
        <w:spacing w:before="54" w:line="317" w:lineRule="auto"/>
        <w:ind w:left="21" w:firstLine="617"/>
        <w:rPr>
          <w:sz w:val="30"/>
          <w:szCs w:val="30"/>
        </w:rPr>
      </w:pPr>
      <w:r>
        <w:rPr>
          <w:b/>
          <w:bCs/>
          <w:spacing w:val="-6"/>
          <w:sz w:val="30"/>
          <w:szCs w:val="30"/>
        </w:rPr>
        <w:t>文化资源丰富。</w:t>
      </w:r>
      <w:r>
        <w:rPr>
          <w:spacing w:val="-6"/>
          <w:sz w:val="30"/>
          <w:szCs w:val="30"/>
        </w:rPr>
        <w:t>根河市是一座因林而建、因林而兴的林区移</w:t>
      </w:r>
      <w:r>
        <w:rPr>
          <w:spacing w:val="7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民城市，独特的地理位置，独具特色的民族文化和自然的林海景</w:t>
      </w:r>
      <w:r>
        <w:rPr>
          <w:spacing w:val="5"/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观形成了这座城市独有的文化形态与文化积累，包括使鹿文化、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游猎民族文化、森林文化、“冷极”文化等。敖鲁古雅使鹿文化</w:t>
      </w:r>
      <w:r>
        <w:rPr>
          <w:spacing w:val="5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凝结了森林民族文化乃至人类早期文化的历史，见证了中国北方</w:t>
      </w:r>
      <w:r>
        <w:rPr>
          <w:spacing w:val="5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原始文化的脉络，不仅是泛北极圈的标志性文化，也是世界级文</w:t>
      </w:r>
      <w:r>
        <w:rPr>
          <w:spacing w:val="5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化品牌，是中国融入泛北极圈重要的文化纽带，具有国际性和战</w:t>
      </w:r>
      <w:r>
        <w:rPr>
          <w:spacing w:val="5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略性。游猎民族文化源远流长，兴起于北方的东胡、鲜卑、蒙兀</w:t>
      </w:r>
      <w:r>
        <w:rPr>
          <w:spacing w:val="5"/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室韦各族都曾在根河市留下历史足迹，各民族的大迁徙与大融合，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是不同时期政治、经济、军事、自然状况等各方面历史条件的反</w:t>
      </w:r>
    </w:p>
    <w:p>
      <w:pPr>
        <w:spacing w:line="317" w:lineRule="auto"/>
        <w:rPr>
          <w:sz w:val="30"/>
          <w:szCs w:val="30"/>
        </w:rPr>
        <w:sectPr>
          <w:headerReference r:id="rId14" w:type="default"/>
          <w:footerReference r:id="rId15" w:type="default"/>
          <w:pgSz w:w="11906" w:h="16839"/>
          <w:pgMar w:top="1191" w:right="1572" w:bottom="1152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311" w:lineRule="auto"/>
        <w:ind w:left="35" w:right="143" w:firstLine="5"/>
        <w:jc w:val="both"/>
        <w:rPr>
          <w:sz w:val="30"/>
          <w:szCs w:val="30"/>
        </w:rPr>
      </w:pPr>
      <w:r>
        <w:rPr>
          <w:spacing w:val="-1"/>
          <w:sz w:val="30"/>
          <w:szCs w:val="30"/>
        </w:rPr>
        <w:t>映，留给根河市珍贵的历史文化遗存。根河市经过</w:t>
      </w:r>
      <w:r>
        <w:rPr>
          <w:spacing w:val="-4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50</w:t>
      </w:r>
      <w:r>
        <w:rPr>
          <w:rFonts w:ascii="Times New Roman" w:hAnsi="Times New Roman" w:eastAsia="Times New Roman" w:cs="Times New Roman"/>
          <w:spacing w:val="2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多年以林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为主的开发建设，积淀了深厚的森工文化底蕴，形成了</w:t>
      </w:r>
      <w:r>
        <w:rPr>
          <w:spacing w:val="-5"/>
          <w:sz w:val="30"/>
          <w:szCs w:val="30"/>
        </w:rPr>
        <w:t>丰富多彩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而又独具特色的森工文化。</w:t>
      </w:r>
    </w:p>
    <w:p>
      <w:pPr>
        <w:spacing w:before="43" w:line="220" w:lineRule="auto"/>
        <w:ind w:left="26"/>
        <w:outlineLvl w:val="3"/>
        <w:rPr>
          <w:rFonts w:ascii="宋体" w:hAnsi="宋体" w:eastAsia="宋体" w:cs="宋体"/>
          <w:sz w:val="30"/>
          <w:szCs w:val="30"/>
        </w:rPr>
      </w:pPr>
      <w:r>
        <w:rPr>
          <w:rFonts w:ascii="Calibri" w:hAnsi="Calibri" w:eastAsia="Calibri" w:cs="Calibri"/>
          <w:b/>
          <w:bCs/>
          <w:spacing w:val="-10"/>
          <w:sz w:val="30"/>
          <w:szCs w:val="30"/>
        </w:rPr>
        <w:t>2</w:t>
      </w:r>
      <w:r>
        <w:rPr>
          <w:rFonts w:ascii="Calibri" w:hAnsi="Calibri" w:eastAsia="Calibri" w:cs="Calibri"/>
          <w:b/>
          <w:bCs/>
          <w:spacing w:val="-34"/>
          <w:sz w:val="30"/>
          <w:szCs w:val="30"/>
        </w:rPr>
        <w:t xml:space="preserve"> </w:t>
      </w:r>
      <w:r>
        <w:rPr>
          <w:rFonts w:ascii="宋体" w:hAnsi="宋体" w:eastAsia="宋体" w:cs="宋体"/>
          <w:b/>
          <w:bCs/>
          <w:spacing w:val="-10"/>
          <w:sz w:val="30"/>
          <w:szCs w:val="30"/>
        </w:rPr>
        <w:t>、工作基础</w:t>
      </w:r>
    </w:p>
    <w:p>
      <w:pPr>
        <w:pStyle w:val="2"/>
        <w:spacing w:before="158" w:line="316" w:lineRule="auto"/>
        <w:ind w:left="25" w:right="143" w:firstLine="596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根河市创建国家生态文明示范市以来，扎实开展生态文明建</w:t>
      </w:r>
      <w:r>
        <w:rPr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设工作，市委、市政府高度重视生态文明建设，始终保持加强生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态文明建设的战略定力和恒心韧劲，坚决走好以生态优先、绿色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发展为导向的高质量发展新路子，开展了一系列基础性、长远性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的生态保护工作，生态文明建设取得了突破性进展，生态文明建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设目标责任和制度体系不断完善，城乡环境更加优美，人民群众</w:t>
      </w:r>
      <w:r>
        <w:rPr>
          <w:spacing w:val="5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绿色获得感、幸福感不断增强。</w:t>
      </w:r>
    </w:p>
    <w:p>
      <w:pPr>
        <w:pStyle w:val="2"/>
        <w:spacing w:before="55" w:line="317" w:lineRule="auto"/>
        <w:ind w:left="18" w:firstLine="60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根河市县域生态环境质量考核进入全区前列，国家重点功能</w:t>
      </w:r>
      <w:r>
        <w:rPr>
          <w:sz w:val="30"/>
          <w:szCs w:val="30"/>
        </w:rPr>
        <w:t xml:space="preserve">  </w:t>
      </w:r>
      <w:r>
        <w:rPr>
          <w:spacing w:val="-1"/>
          <w:sz w:val="30"/>
          <w:szCs w:val="30"/>
        </w:rPr>
        <w:t>区转移支付资金逐年增长；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 xml:space="preserve">2020 </w:t>
      </w:r>
      <w:r>
        <w:rPr>
          <w:spacing w:val="-1"/>
          <w:sz w:val="30"/>
          <w:szCs w:val="30"/>
        </w:rPr>
        <w:t>年获得全国森林康养基地称号、</w:t>
      </w:r>
      <w:r>
        <w:rPr>
          <w:sz w:val="30"/>
          <w:szCs w:val="30"/>
        </w:rPr>
        <w:t xml:space="preserve"> 入选“</w:t>
      </w:r>
      <w:r>
        <w:rPr>
          <w:rFonts w:ascii="Times New Roman" w:hAnsi="Times New Roman" w:eastAsia="Times New Roman" w:cs="Times New Roman"/>
          <w:sz w:val="30"/>
          <w:szCs w:val="30"/>
        </w:rPr>
        <w:t>2020</w:t>
      </w:r>
      <w:r>
        <w:rPr>
          <w:rFonts w:ascii="Times New Roman" w:hAnsi="Times New Roman" w:eastAsia="Times New Roman" w:cs="Times New Roman"/>
          <w:spacing w:val="50"/>
          <w:sz w:val="30"/>
          <w:szCs w:val="30"/>
        </w:rPr>
        <w:t xml:space="preserve"> </w:t>
      </w:r>
      <w:r>
        <w:rPr>
          <w:sz w:val="30"/>
          <w:szCs w:val="30"/>
        </w:rPr>
        <w:t>中国县域生态百优榜”；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2021 </w:t>
      </w:r>
      <w:r>
        <w:rPr>
          <w:sz w:val="30"/>
          <w:szCs w:val="30"/>
        </w:rPr>
        <w:t xml:space="preserve">年获得“绿水青山就  </w:t>
      </w:r>
      <w:r>
        <w:rPr>
          <w:spacing w:val="-9"/>
          <w:sz w:val="30"/>
          <w:szCs w:val="30"/>
        </w:rPr>
        <w:t>是金山银山”实践创新基地、自治区级低碳试点旗县等荣誉称号；</w:t>
      </w:r>
      <w:r>
        <w:rPr>
          <w:spacing w:val="5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根河被水利部评为“生态河流”，“</w:t>
      </w:r>
      <w:r>
        <w:rPr>
          <w:spacing w:val="-106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中国冷极”称号获</w:t>
      </w:r>
      <w:r>
        <w:rPr>
          <w:spacing w:val="-6"/>
          <w:sz w:val="30"/>
          <w:szCs w:val="30"/>
        </w:rPr>
        <w:t>得国家气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候中心官方认证；全市</w:t>
      </w:r>
      <w:r>
        <w:rPr>
          <w:spacing w:val="-5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 xml:space="preserve">4 </w:t>
      </w:r>
      <w:r>
        <w:rPr>
          <w:spacing w:val="-4"/>
          <w:sz w:val="30"/>
          <w:szCs w:val="30"/>
        </w:rPr>
        <w:t>个矿山分别进入国家级和自治区级绿色</w:t>
      </w:r>
      <w:r>
        <w:rPr>
          <w:sz w:val="30"/>
          <w:szCs w:val="30"/>
        </w:rPr>
        <w:t xml:space="preserve">  </w:t>
      </w:r>
      <w:r>
        <w:rPr>
          <w:spacing w:val="-5"/>
          <w:sz w:val="30"/>
          <w:szCs w:val="30"/>
        </w:rPr>
        <w:t>矿山行列；成功组建“</w:t>
      </w:r>
      <w:r>
        <w:rPr>
          <w:spacing w:val="-103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中国冷极”冷资源技术创</w:t>
      </w:r>
      <w:r>
        <w:rPr>
          <w:spacing w:val="-6"/>
          <w:sz w:val="30"/>
          <w:szCs w:val="30"/>
        </w:rPr>
        <w:t>新中心；成功举</w:t>
      </w:r>
      <w:r>
        <w:rPr>
          <w:sz w:val="30"/>
          <w:szCs w:val="30"/>
        </w:rPr>
        <w:t xml:space="preserve">  </w:t>
      </w:r>
      <w:r>
        <w:rPr>
          <w:spacing w:val="-9"/>
          <w:sz w:val="30"/>
          <w:szCs w:val="30"/>
        </w:rPr>
        <w:t>办冷级冰雪季、驯鹿王大赛等系列旅游活动，《我们的敖鲁古雅》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实现商业化演出，有力带动了综合经济实力提升；在各批次中央</w:t>
      </w:r>
      <w:r>
        <w:rPr>
          <w:spacing w:val="6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环保督察迎检中，根河市是呼伦贝尔市唯一生态环境问题零上访</w:t>
      </w:r>
      <w:r>
        <w:rPr>
          <w:spacing w:val="6"/>
          <w:sz w:val="30"/>
          <w:szCs w:val="30"/>
        </w:rPr>
        <w:t xml:space="preserve">  </w:t>
      </w:r>
      <w:r>
        <w:rPr>
          <w:spacing w:val="-2"/>
          <w:sz w:val="30"/>
          <w:szCs w:val="30"/>
        </w:rPr>
        <w:t>旗市。</w:t>
      </w:r>
    </w:p>
    <w:p>
      <w:pPr>
        <w:pStyle w:val="2"/>
        <w:spacing w:before="48" w:line="312" w:lineRule="auto"/>
        <w:ind w:left="21" w:right="143" w:firstLine="601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根河市在《内蒙古自治区根河市生态文明建设示范市创建规</w:t>
      </w:r>
      <w:r>
        <w:rPr>
          <w:spacing w:val="1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划（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2018-2022</w:t>
      </w:r>
      <w:r>
        <w:rPr>
          <w:spacing w:val="-2"/>
          <w:sz w:val="30"/>
          <w:szCs w:val="30"/>
        </w:rPr>
        <w:t>）》的创建过程中，根河市参与考核的</w:t>
      </w:r>
      <w:r>
        <w:rPr>
          <w:spacing w:val="-5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 xml:space="preserve">31 </w:t>
      </w:r>
      <w:r>
        <w:rPr>
          <w:spacing w:val="-2"/>
          <w:sz w:val="30"/>
          <w:szCs w:val="30"/>
        </w:rPr>
        <w:t>项指标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基本达标，且多项指标优于目标值。由于“十三五”后期，根河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市重点项目储备库进行调整，将“十三五”前中期不符合根河市</w:t>
      </w:r>
    </w:p>
    <w:p>
      <w:pPr>
        <w:spacing w:line="312" w:lineRule="auto"/>
        <w:rPr>
          <w:sz w:val="30"/>
          <w:szCs w:val="30"/>
        </w:rPr>
        <w:sectPr>
          <w:headerReference r:id="rId16" w:type="default"/>
          <w:footerReference r:id="rId17" w:type="default"/>
          <w:pgSz w:w="11906" w:h="16839"/>
          <w:pgMar w:top="1191" w:right="1655" w:bottom="1152" w:left="1785" w:header="882" w:footer="987" w:gutter="0"/>
          <w:cols w:space="720" w:num="1"/>
        </w:sectPr>
      </w:pPr>
    </w:p>
    <w:p>
      <w:pPr>
        <w:spacing w:line="316" w:lineRule="auto"/>
        <w:rPr>
          <w:rFonts w:ascii="Arial"/>
          <w:sz w:val="21"/>
        </w:rPr>
      </w:pPr>
    </w:p>
    <w:p>
      <w:pPr>
        <w:pStyle w:val="2"/>
        <w:spacing w:before="98" w:line="317" w:lineRule="auto"/>
        <w:ind w:left="18" w:right="13" w:firstLine="25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生态本底条件及社会经济现状的项目予以取缔，将原规划设计的</w:t>
      </w:r>
      <w:r>
        <w:rPr>
          <w:spacing w:val="1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 xml:space="preserve">79 </w:t>
      </w:r>
      <w:r>
        <w:rPr>
          <w:spacing w:val="4"/>
          <w:sz w:val="30"/>
          <w:szCs w:val="30"/>
        </w:rPr>
        <w:t>个生态文明重点建设项目进行优化调整，调整后的生态文明</w:t>
      </w:r>
      <w:r>
        <w:rPr>
          <w:spacing w:val="7"/>
          <w:sz w:val="30"/>
          <w:szCs w:val="30"/>
        </w:rPr>
        <w:t xml:space="preserve"> </w:t>
      </w:r>
      <w:r>
        <w:rPr>
          <w:spacing w:val="3"/>
          <w:sz w:val="30"/>
          <w:szCs w:val="30"/>
        </w:rPr>
        <w:t>重点建设项目共计</w:t>
      </w:r>
      <w:r>
        <w:rPr>
          <w:spacing w:val="-5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 xml:space="preserve">26 </w:t>
      </w:r>
      <w:r>
        <w:rPr>
          <w:spacing w:val="3"/>
          <w:sz w:val="30"/>
          <w:szCs w:val="30"/>
        </w:rPr>
        <w:t>项。截止</w:t>
      </w:r>
      <w:r>
        <w:rPr>
          <w:spacing w:val="-6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 xml:space="preserve">2022 </w:t>
      </w:r>
      <w:r>
        <w:rPr>
          <w:spacing w:val="3"/>
          <w:sz w:val="30"/>
          <w:szCs w:val="30"/>
        </w:rPr>
        <w:t>年，共完成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 xml:space="preserve">20 </w:t>
      </w:r>
      <w:r>
        <w:rPr>
          <w:spacing w:val="3"/>
          <w:sz w:val="30"/>
          <w:szCs w:val="30"/>
        </w:rPr>
        <w:t>项，由于工</w:t>
      </w:r>
      <w:r>
        <w:rPr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业园区取消而停止项目</w:t>
      </w:r>
      <w:r>
        <w:rPr>
          <w:spacing w:val="-2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 xml:space="preserve">1 </w:t>
      </w:r>
      <w:r>
        <w:rPr>
          <w:spacing w:val="-3"/>
          <w:sz w:val="30"/>
          <w:szCs w:val="30"/>
        </w:rPr>
        <w:t>项，未完成</w:t>
      </w:r>
      <w:r>
        <w:rPr>
          <w:spacing w:val="-5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 xml:space="preserve">5 </w:t>
      </w:r>
      <w:r>
        <w:rPr>
          <w:spacing w:val="-3"/>
          <w:sz w:val="30"/>
          <w:szCs w:val="30"/>
        </w:rPr>
        <w:t>项。在未完成的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 xml:space="preserve">5 </w:t>
      </w:r>
      <w:r>
        <w:rPr>
          <w:spacing w:val="-3"/>
          <w:sz w:val="30"/>
          <w:szCs w:val="30"/>
        </w:rPr>
        <w:t>个项目</w:t>
      </w:r>
      <w:r>
        <w:rPr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中，根河市新型市内垃圾转运站建设项目已成功申请</w:t>
      </w:r>
      <w:r>
        <w:rPr>
          <w:spacing w:val="-5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>300</w:t>
      </w:r>
      <w:r>
        <w:rPr>
          <w:rFonts w:ascii="Times New Roman" w:hAnsi="Times New Roman" w:eastAsia="Times New Roman" w:cs="Times New Roman"/>
          <w:spacing w:val="29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万元自</w:t>
      </w:r>
      <w:r>
        <w:rPr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治区专项资金支持，完成工程量的</w:t>
      </w:r>
      <w:r>
        <w:rPr>
          <w:spacing w:val="-5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>60%</w:t>
      </w:r>
      <w:r>
        <w:rPr>
          <w:spacing w:val="-5"/>
          <w:sz w:val="30"/>
          <w:szCs w:val="30"/>
        </w:rPr>
        <w:t>；根河市满归镇生活垃圾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无害化处理工程建设项目、根河市金河镇生活垃圾无害化处理工</w:t>
      </w:r>
      <w:r>
        <w:rPr>
          <w:spacing w:val="12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程建设项目已完成工程量的</w:t>
      </w:r>
      <w:r>
        <w:rPr>
          <w:spacing w:val="-5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>85%</w:t>
      </w:r>
      <w:r>
        <w:rPr>
          <w:spacing w:val="-5"/>
          <w:sz w:val="30"/>
          <w:szCs w:val="30"/>
        </w:rPr>
        <w:t>；根河、激流河流域治理工程主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体已完工，正在进行工程扫尾工作；金河林业局冷极村旅游发展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项目由于责任主体改变而推迟。根河市在上一轮规划中取得显著</w:t>
      </w:r>
      <w:r>
        <w:rPr>
          <w:spacing w:val="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成效，主要表现在：</w:t>
      </w:r>
    </w:p>
    <w:p>
      <w:pPr>
        <w:pStyle w:val="2"/>
        <w:spacing w:before="53" w:line="317" w:lineRule="auto"/>
        <w:ind w:left="22" w:right="13" w:firstLine="603"/>
        <w:jc w:val="both"/>
        <w:rPr>
          <w:sz w:val="30"/>
          <w:szCs w:val="30"/>
        </w:rPr>
      </w:pPr>
      <w:r>
        <w:rPr>
          <w:b/>
          <w:bCs/>
          <w:spacing w:val="-7"/>
          <w:sz w:val="30"/>
          <w:szCs w:val="30"/>
        </w:rPr>
        <w:t>调结构、促转型，新旧动能转换不断提速。</w:t>
      </w:r>
      <w:r>
        <w:rPr>
          <w:spacing w:val="-7"/>
          <w:sz w:val="30"/>
          <w:szCs w:val="30"/>
        </w:rPr>
        <w:t>根河市坚决遏制</w:t>
      </w:r>
      <w:r>
        <w:rPr>
          <w:spacing w:val="1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“两高”项目盲目发展，从源头上严格项目审批，有效控制能耗</w:t>
      </w:r>
      <w:r>
        <w:rPr>
          <w:spacing w:val="9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增量，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 xml:space="preserve">2019-2022 </w:t>
      </w:r>
      <w:r>
        <w:rPr>
          <w:spacing w:val="-5"/>
          <w:sz w:val="30"/>
          <w:szCs w:val="30"/>
        </w:rPr>
        <w:t>年单位</w:t>
      </w:r>
      <w:r>
        <w:rPr>
          <w:spacing w:val="-6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>GDP</w:t>
      </w:r>
      <w:r>
        <w:rPr>
          <w:rFonts w:ascii="Times New Roman" w:hAnsi="Times New Roman" w:eastAsia="Times New Roman" w:cs="Times New Roman"/>
          <w:spacing w:val="41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能耗下降率均</w:t>
      </w:r>
      <w:r>
        <w:rPr>
          <w:spacing w:val="-6"/>
          <w:sz w:val="30"/>
          <w:szCs w:val="30"/>
        </w:rPr>
        <w:t>能完成了上级规定的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考核任务，主要污染物排放量减排超额完成上级下达目标。加快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新旧动能转换步伐，优化产业结构，坚决淘汰落后、低端、过剩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产能；截止目前，根河市所有矿产企业均完成绿色节能改造，新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兴产业加速发展，通过持续深挖冷资源、空域资源优势，组建了</w:t>
      </w:r>
      <w:r>
        <w:rPr>
          <w:spacing w:val="9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“</w:t>
      </w:r>
      <w:r>
        <w:rPr>
          <w:spacing w:val="-85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中国冷极”冷资源技术创新中心；与漠河市、呼中区成立“两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极三地”旅游发展联盟，开启了跨省间旅游合作新模式；聚焦以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蓝莓、灵芝、矿（山）泉水为主的绿色食品加工业，木材精细加</w:t>
      </w:r>
      <w:r>
        <w:rPr>
          <w:spacing w:val="9"/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工业等领域，招引贸易物流、电商平台等三产企业，有力拉动</w:t>
      </w:r>
      <w:r>
        <w:rPr>
          <w:spacing w:val="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 xml:space="preserve">GDP </w:t>
      </w:r>
      <w:r>
        <w:rPr>
          <w:spacing w:val="-1"/>
          <w:sz w:val="30"/>
          <w:szCs w:val="30"/>
        </w:rPr>
        <w:t>增长，实现绿色高质量发展。</w:t>
      </w:r>
    </w:p>
    <w:p>
      <w:pPr>
        <w:pStyle w:val="2"/>
        <w:spacing w:before="53" w:line="309" w:lineRule="auto"/>
        <w:ind w:left="25" w:right="13" w:firstLine="603"/>
        <w:jc w:val="both"/>
        <w:rPr>
          <w:sz w:val="30"/>
          <w:szCs w:val="30"/>
        </w:rPr>
      </w:pPr>
      <w:r>
        <w:rPr>
          <w:b/>
          <w:bCs/>
          <w:spacing w:val="-7"/>
          <w:sz w:val="30"/>
          <w:szCs w:val="30"/>
        </w:rPr>
        <w:t>抓重点、补短板，污染防治攻坚战成效显著。</w:t>
      </w:r>
      <w:r>
        <w:rPr>
          <w:spacing w:val="-7"/>
          <w:sz w:val="30"/>
          <w:szCs w:val="30"/>
        </w:rPr>
        <w:t>根河市严格实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施《根河市打赢蓝天保卫战三年行动计划实施方案》，推进重点</w:t>
      </w:r>
      <w:r>
        <w:rPr>
          <w:spacing w:val="5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行业污染治理升级改造，于</w:t>
      </w:r>
      <w:r>
        <w:rPr>
          <w:spacing w:val="-6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2020 </w:t>
      </w:r>
      <w:r>
        <w:rPr>
          <w:spacing w:val="1"/>
          <w:sz w:val="30"/>
          <w:szCs w:val="30"/>
        </w:rPr>
        <w:t>年完成“散乱污”工业企业整</w:t>
      </w:r>
    </w:p>
    <w:p>
      <w:pPr>
        <w:spacing w:line="309" w:lineRule="auto"/>
        <w:rPr>
          <w:sz w:val="30"/>
          <w:szCs w:val="30"/>
        </w:rPr>
        <w:sectPr>
          <w:headerReference r:id="rId18" w:type="default"/>
          <w:footerReference r:id="rId19" w:type="default"/>
          <w:pgSz w:w="11906" w:h="16839"/>
          <w:pgMar w:top="1191" w:right="1785" w:bottom="1151" w:left="1785" w:header="882" w:footer="987" w:gutter="0"/>
          <w:cols w:space="720" w:num="1"/>
        </w:sectPr>
      </w:pPr>
    </w:p>
    <w:p>
      <w:pPr>
        <w:spacing w:line="310" w:lineRule="auto"/>
        <w:rPr>
          <w:rFonts w:ascii="Arial"/>
          <w:sz w:val="21"/>
        </w:rPr>
      </w:pPr>
    </w:p>
    <w:p>
      <w:pPr>
        <w:pStyle w:val="2"/>
        <w:spacing w:before="98" w:line="316" w:lineRule="auto"/>
        <w:ind w:left="19" w:firstLine="23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治工作；加强能源领域大气污染治理，根据《根河市市场监督管</w:t>
      </w:r>
      <w:r>
        <w:rPr>
          <w:spacing w:val="8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理局关于散煤治理实施方案的通知》严格控制不符合标准煤炭直</w:t>
      </w:r>
      <w:r>
        <w:rPr>
          <w:spacing w:val="6"/>
          <w:sz w:val="30"/>
          <w:szCs w:val="30"/>
        </w:rPr>
        <w:t xml:space="preserve">  </w:t>
      </w:r>
      <w:r>
        <w:rPr>
          <w:spacing w:val="-2"/>
          <w:sz w:val="30"/>
          <w:szCs w:val="30"/>
        </w:rPr>
        <w:t>接进入流通环节，逐步取消城市建成区</w:t>
      </w:r>
      <w:r>
        <w:rPr>
          <w:spacing w:val="-3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 xml:space="preserve">10 </w:t>
      </w:r>
      <w:r>
        <w:rPr>
          <w:spacing w:val="-3"/>
          <w:sz w:val="30"/>
          <w:szCs w:val="30"/>
        </w:rPr>
        <w:t>蒸吨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/</w:t>
      </w:r>
      <w:r>
        <w:rPr>
          <w:spacing w:val="-3"/>
          <w:sz w:val="30"/>
          <w:szCs w:val="30"/>
        </w:rPr>
        <w:t>小时及以下燃煤</w:t>
      </w:r>
      <w:r>
        <w:rPr>
          <w:sz w:val="30"/>
          <w:szCs w:val="30"/>
        </w:rPr>
        <w:t xml:space="preserve">  </w:t>
      </w:r>
      <w:r>
        <w:rPr>
          <w:spacing w:val="-1"/>
          <w:sz w:val="30"/>
          <w:szCs w:val="30"/>
        </w:rPr>
        <w:t>锅炉，于</w:t>
      </w:r>
      <w:r>
        <w:rPr>
          <w:spacing w:val="-6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 xml:space="preserve">2021 </w:t>
      </w:r>
      <w:r>
        <w:rPr>
          <w:spacing w:val="-1"/>
          <w:sz w:val="30"/>
          <w:szCs w:val="30"/>
        </w:rPr>
        <w:t>年完成淘汰工作；强化移动源环境管理，</w:t>
      </w:r>
      <w:r>
        <w:rPr>
          <w:spacing w:val="-8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目前根</w:t>
      </w:r>
      <w:r>
        <w:rPr>
          <w:sz w:val="30"/>
          <w:szCs w:val="30"/>
        </w:rPr>
        <w:t xml:space="preserve">  </w:t>
      </w:r>
      <w:r>
        <w:rPr>
          <w:spacing w:val="-5"/>
          <w:sz w:val="30"/>
          <w:szCs w:val="30"/>
        </w:rPr>
        <w:t>河市加油站均实现了“</w:t>
      </w:r>
      <w:r>
        <w:rPr>
          <w:spacing w:val="-110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三油并轨”；此外，根河市不断完善环境</w:t>
      </w:r>
      <w:r>
        <w:rPr>
          <w:sz w:val="30"/>
          <w:szCs w:val="30"/>
        </w:rPr>
        <w:t xml:space="preserve">  </w:t>
      </w:r>
      <w:r>
        <w:rPr>
          <w:spacing w:val="4"/>
          <w:sz w:val="30"/>
          <w:szCs w:val="30"/>
        </w:rPr>
        <w:t>监测体系和加大大气污染防治资金投入；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 xml:space="preserve">2019 </w:t>
      </w:r>
      <w:r>
        <w:rPr>
          <w:spacing w:val="4"/>
          <w:sz w:val="30"/>
          <w:szCs w:val="30"/>
        </w:rPr>
        <w:t>年以来，全市优</w:t>
      </w:r>
      <w:r>
        <w:rPr>
          <w:spacing w:val="1"/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良天数比例均为</w:t>
      </w:r>
      <w:r>
        <w:rPr>
          <w:spacing w:val="-2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0"/>
          <w:szCs w:val="30"/>
        </w:rPr>
        <w:t>100%</w:t>
      </w:r>
      <w:r>
        <w:rPr>
          <w:spacing w:val="-6"/>
          <w:sz w:val="30"/>
          <w:szCs w:val="30"/>
        </w:rPr>
        <w:t>，</w:t>
      </w:r>
      <w:r>
        <w:rPr>
          <w:rFonts w:ascii="Times New Roman" w:hAnsi="Times New Roman" w:eastAsia="Times New Roman" w:cs="Times New Roman"/>
          <w:spacing w:val="-6"/>
          <w:sz w:val="30"/>
          <w:szCs w:val="30"/>
        </w:rPr>
        <w:t>PM2.5</w:t>
      </w:r>
      <w:r>
        <w:rPr>
          <w:rFonts w:ascii="Times New Roman" w:hAnsi="Times New Roman" w:eastAsia="Times New Roman" w:cs="Times New Roman"/>
          <w:spacing w:val="27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浓度均达到《环境空气质量标准》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GB3095-2012</w:t>
      </w:r>
      <w:r>
        <w:rPr>
          <w:spacing w:val="-1"/>
          <w:sz w:val="30"/>
          <w:szCs w:val="30"/>
        </w:rPr>
        <w:t>）中年平均一级浓度限值。</w:t>
      </w:r>
    </w:p>
    <w:p>
      <w:pPr>
        <w:pStyle w:val="2"/>
        <w:spacing w:before="49" w:line="317" w:lineRule="auto"/>
        <w:ind w:left="20" w:right="68" w:firstLine="602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根河市相继印发实施了《根河市“十四五”生态环境保</w:t>
      </w:r>
      <w:r>
        <w:rPr>
          <w:spacing w:val="-5"/>
          <w:sz w:val="30"/>
          <w:szCs w:val="30"/>
        </w:rPr>
        <w:t>护规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划》《根河市畜禽禁养区划定方案》《根河市污染防治攻坚战实</w:t>
      </w:r>
      <w:r>
        <w:rPr>
          <w:spacing w:val="11"/>
          <w:sz w:val="30"/>
          <w:szCs w:val="30"/>
        </w:rPr>
        <w:t xml:space="preserve"> </w:t>
      </w:r>
      <w:r>
        <w:rPr>
          <w:spacing w:val="3"/>
          <w:sz w:val="30"/>
          <w:szCs w:val="30"/>
        </w:rPr>
        <w:t>施方案（试行）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>2018-2020</w:t>
      </w:r>
      <w:r>
        <w:rPr>
          <w:spacing w:val="3"/>
          <w:sz w:val="30"/>
          <w:szCs w:val="30"/>
        </w:rPr>
        <w:t xml:space="preserve">》等方案，全面规划全市水污染防治 </w:t>
      </w:r>
      <w:r>
        <w:rPr>
          <w:spacing w:val="-4"/>
          <w:sz w:val="30"/>
          <w:szCs w:val="30"/>
        </w:rPr>
        <w:t>工作，为全市水污染防治定向导航；持续强化城镇污水治理提标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工作，先后实施了污水处理厂提标改造工程、污水处理厂再生水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回用管网工程、污水处理厂除磷脱氮节能改造工程、市区污水收</w:t>
      </w:r>
      <w:r>
        <w:rPr>
          <w:spacing w:val="11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集率提升改造一期、二期等工程；构建完善的城乡污</w:t>
      </w:r>
      <w:r>
        <w:rPr>
          <w:spacing w:val="-12"/>
          <w:sz w:val="30"/>
          <w:szCs w:val="30"/>
        </w:rPr>
        <w:t>水处理体系，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健全“县、乡、村”三级河长体系，水环境质量持续改善，根河</w:t>
      </w:r>
      <w:r>
        <w:rPr>
          <w:spacing w:val="11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被水利部评为“生态河流”；根河市全域范围内无劣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V</w:t>
      </w:r>
      <w:r>
        <w:rPr>
          <w:rFonts w:ascii="Times New Roman" w:hAnsi="Times New Roman" w:eastAsia="Times New Roman" w:cs="Times New Roman"/>
          <w:spacing w:val="39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类水体，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无黑臭水体。</w:t>
      </w:r>
    </w:p>
    <w:p>
      <w:pPr>
        <w:pStyle w:val="2"/>
        <w:spacing w:before="47" w:line="315" w:lineRule="auto"/>
        <w:ind w:left="23" w:right="123" w:firstLine="598"/>
        <w:jc w:val="both"/>
        <w:rPr>
          <w:sz w:val="30"/>
          <w:szCs w:val="30"/>
        </w:rPr>
      </w:pPr>
      <w:r>
        <w:rPr>
          <w:spacing w:val="8"/>
          <w:sz w:val="30"/>
          <w:szCs w:val="30"/>
        </w:rPr>
        <w:t>根河市将土壤污染防治作为全市环境保护攻坚工作</w:t>
      </w:r>
      <w:r>
        <w:rPr>
          <w:spacing w:val="7"/>
          <w:sz w:val="30"/>
          <w:szCs w:val="30"/>
        </w:rPr>
        <w:t>的重要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组成部分，保障农用地和建设用地土壤环境。坚持预防为主、保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护优先，风险管控、污染担责、综合治理的原则，严格落实重点</w:t>
      </w:r>
      <w:r>
        <w:rPr>
          <w:spacing w:val="8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建设用地土壤环境监管工作，加强土壤污染重点监管单位管理，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构建土壤环境管理体系，目前根河市土壤环境质量保持稳定，无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 xml:space="preserve">疑似污染地块，建设用地安全利用率 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100%</w:t>
      </w:r>
      <w:r>
        <w:rPr>
          <w:spacing w:val="-1"/>
          <w:sz w:val="30"/>
          <w:szCs w:val="30"/>
        </w:rPr>
        <w:t>。</w:t>
      </w:r>
    </w:p>
    <w:p>
      <w:pPr>
        <w:pStyle w:val="2"/>
        <w:spacing w:before="49" w:line="305" w:lineRule="auto"/>
        <w:ind w:left="50" w:right="143" w:firstLine="571"/>
        <w:rPr>
          <w:sz w:val="30"/>
          <w:szCs w:val="30"/>
        </w:rPr>
      </w:pPr>
      <w:r>
        <w:rPr>
          <w:b/>
          <w:bCs/>
          <w:spacing w:val="-6"/>
          <w:sz w:val="30"/>
          <w:szCs w:val="30"/>
        </w:rPr>
        <w:t>增绿量、提绿质，筑牢北疆生态安全屏障。</w:t>
      </w:r>
      <w:r>
        <w:rPr>
          <w:spacing w:val="-7"/>
          <w:sz w:val="30"/>
          <w:szCs w:val="30"/>
        </w:rPr>
        <w:t>根河市严格落实</w:t>
      </w:r>
      <w:r>
        <w:rPr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“林长制”责任体系，严厉打击违法犯罪行为，确保林业资源不</w:t>
      </w:r>
    </w:p>
    <w:p>
      <w:pPr>
        <w:spacing w:line="305" w:lineRule="auto"/>
        <w:rPr>
          <w:sz w:val="30"/>
          <w:szCs w:val="30"/>
        </w:rPr>
        <w:sectPr>
          <w:headerReference r:id="rId20" w:type="default"/>
          <w:footerReference r:id="rId21" w:type="default"/>
          <w:pgSz w:w="11906" w:h="16839"/>
          <w:pgMar w:top="1191" w:right="1655" w:bottom="1150" w:left="1785" w:header="882" w:footer="987" w:gutter="0"/>
          <w:cols w:space="720" w:num="1"/>
        </w:sectPr>
      </w:pPr>
    </w:p>
    <w:p>
      <w:pPr>
        <w:spacing w:line="316" w:lineRule="auto"/>
        <w:rPr>
          <w:rFonts w:ascii="Arial"/>
          <w:sz w:val="21"/>
        </w:rPr>
      </w:pPr>
    </w:p>
    <w:p>
      <w:pPr>
        <w:pStyle w:val="2"/>
        <w:spacing w:before="98" w:line="317" w:lineRule="auto"/>
        <w:ind w:left="23"/>
        <w:jc w:val="both"/>
        <w:rPr>
          <w:sz w:val="30"/>
          <w:szCs w:val="30"/>
        </w:rPr>
      </w:pPr>
      <w:r>
        <w:rPr>
          <w:spacing w:val="-11"/>
          <w:sz w:val="30"/>
          <w:szCs w:val="30"/>
        </w:rPr>
        <w:t>减少、生态功能不降低；聚焦森林覆盖率、森林蓄积、林地面积、</w:t>
      </w:r>
      <w:r>
        <w:rPr>
          <w:spacing w:val="3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林业效益等核心指标，为解决林木密度稀疏、单位面积蓄积量小、</w:t>
      </w:r>
      <w:r>
        <w:rPr>
          <w:spacing w:val="3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林分结构单一等问题，积极开展补植补造工作；坚守“</w:t>
      </w:r>
      <w:r>
        <w:rPr>
          <w:spacing w:val="-111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防</w:t>
      </w:r>
      <w:r>
        <w:rPr>
          <w:spacing w:val="-6"/>
          <w:sz w:val="30"/>
          <w:szCs w:val="30"/>
        </w:rPr>
        <w:t>控森林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火灾、防治林业有害生物、防范破坏林业资源行为”等底线；落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实林地绿化项目用地保障，做好森林、湿地等自然资源保护的组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织、指导、监督工作，提升林地保护管理水平，高质量完成了护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绿、增绿、管绿、用绿、活绿等任务；严格落实林地征占用审批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管理和生态损害赔偿制度，指导、审查、查验各类工程建设占用</w:t>
      </w:r>
      <w:r>
        <w:rPr>
          <w:spacing w:val="5"/>
          <w:sz w:val="30"/>
          <w:szCs w:val="30"/>
        </w:rPr>
        <w:t xml:space="preserve"> </w:t>
      </w:r>
      <w:r>
        <w:rPr>
          <w:sz w:val="30"/>
          <w:szCs w:val="30"/>
        </w:rPr>
        <w:t>林地申报材料，有效防止林地资源流失。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2019-2022 </w:t>
      </w:r>
      <w:r>
        <w:rPr>
          <w:sz w:val="30"/>
          <w:szCs w:val="30"/>
        </w:rPr>
        <w:t>年林草覆盖</w:t>
      </w:r>
      <w:r>
        <w:rPr>
          <w:spacing w:val="18"/>
          <w:sz w:val="30"/>
          <w:szCs w:val="30"/>
        </w:rPr>
        <w:t xml:space="preserve"> </w:t>
      </w:r>
      <w:r>
        <w:rPr>
          <w:spacing w:val="3"/>
          <w:sz w:val="30"/>
          <w:szCs w:val="30"/>
        </w:rPr>
        <w:t>率保持在</w:t>
      </w:r>
      <w:r>
        <w:rPr>
          <w:spacing w:val="-6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>98.78%</w:t>
      </w:r>
      <w:r>
        <w:rPr>
          <w:spacing w:val="3"/>
          <w:sz w:val="30"/>
          <w:szCs w:val="30"/>
        </w:rPr>
        <w:t>以上。持续开展生态</w:t>
      </w:r>
      <w:r>
        <w:rPr>
          <w:spacing w:val="2"/>
          <w:sz w:val="30"/>
          <w:szCs w:val="30"/>
        </w:rPr>
        <w:t>建设、水土保持、生物多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样性保护、土地保护与利用等方面的工作，践行在发展中保护，</w:t>
      </w:r>
      <w:r>
        <w:rPr>
          <w:spacing w:val="12"/>
          <w:sz w:val="30"/>
          <w:szCs w:val="30"/>
        </w:rPr>
        <w:t xml:space="preserve"> </w:t>
      </w:r>
      <w:r>
        <w:rPr>
          <w:sz w:val="30"/>
          <w:szCs w:val="30"/>
        </w:rPr>
        <w:t>在保护中发展理念，生态质量指数（</w:t>
      </w:r>
      <w:r>
        <w:rPr>
          <w:rFonts w:ascii="Times New Roman" w:hAnsi="Times New Roman" w:eastAsia="Times New Roman" w:cs="Times New Roman"/>
          <w:sz w:val="30"/>
          <w:szCs w:val="30"/>
        </w:rPr>
        <w:t>EQI</w:t>
      </w:r>
      <w:r>
        <w:rPr>
          <w:sz w:val="30"/>
          <w:szCs w:val="30"/>
        </w:rPr>
        <w:t>）保持基本稳</w:t>
      </w:r>
      <w:r>
        <w:rPr>
          <w:spacing w:val="-1"/>
          <w:sz w:val="30"/>
          <w:szCs w:val="30"/>
        </w:rPr>
        <w:t>定，生态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环境持续改善，为生物多样性保护提供了良好生态环境保障。</w:t>
      </w:r>
    </w:p>
    <w:p>
      <w:pPr>
        <w:pStyle w:val="2"/>
        <w:spacing w:before="61" w:line="317" w:lineRule="auto"/>
        <w:ind w:left="19" w:firstLine="604"/>
        <w:jc w:val="both"/>
        <w:rPr>
          <w:sz w:val="30"/>
          <w:szCs w:val="30"/>
        </w:rPr>
      </w:pPr>
      <w:r>
        <w:rPr>
          <w:b/>
          <w:bCs/>
          <w:spacing w:val="-7"/>
          <w:sz w:val="30"/>
          <w:szCs w:val="30"/>
        </w:rPr>
        <w:t>压责任、强机制，环境治理效能持续提升。</w:t>
      </w:r>
      <w:r>
        <w:rPr>
          <w:spacing w:val="-7"/>
          <w:sz w:val="30"/>
          <w:szCs w:val="30"/>
        </w:rPr>
        <w:t>根河市成立了市</w:t>
      </w:r>
      <w:r>
        <w:rPr>
          <w:spacing w:val="18"/>
          <w:sz w:val="30"/>
          <w:szCs w:val="30"/>
        </w:rPr>
        <w:t xml:space="preserve"> </w:t>
      </w:r>
      <w:r>
        <w:rPr>
          <w:spacing w:val="-14"/>
          <w:sz w:val="30"/>
          <w:szCs w:val="30"/>
        </w:rPr>
        <w:t>委市政府主要负责同志为“双主任”的生态环境委员会，制定《各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级党委、政府及有关部门生态环境保护职责清单》，建立起齐抓</w:t>
      </w:r>
      <w:r>
        <w:rPr>
          <w:spacing w:val="12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共管的长效机制。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2019-2022 </w:t>
      </w:r>
      <w:r>
        <w:rPr>
          <w:spacing w:val="1"/>
          <w:sz w:val="30"/>
          <w:szCs w:val="30"/>
        </w:rPr>
        <w:t>年，根河市委市</w:t>
      </w:r>
      <w:r>
        <w:rPr>
          <w:sz w:val="30"/>
          <w:szCs w:val="30"/>
        </w:rPr>
        <w:t xml:space="preserve">政府持续制定出台 </w:t>
      </w:r>
      <w:r>
        <w:rPr>
          <w:spacing w:val="-11"/>
          <w:sz w:val="30"/>
          <w:szCs w:val="30"/>
        </w:rPr>
        <w:t>《全市科级领导班子考核指标》，将生态文明建设、落实河长制、</w:t>
      </w:r>
      <w:r>
        <w:rPr>
          <w:spacing w:val="7"/>
          <w:sz w:val="30"/>
          <w:szCs w:val="30"/>
        </w:rPr>
        <w:t xml:space="preserve"> 新型城镇化发展等工作作为评判领导班子和领导干部推动高质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量发展政绩的重要标准，实行乡镇街道和市直部门“双指标”考</w:t>
      </w:r>
      <w:r>
        <w:rPr>
          <w:spacing w:val="12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核体系，进一步强化部门责任意识。开展低碳旗县试点申报工作，</w:t>
      </w:r>
      <w:r>
        <w:rPr>
          <w:spacing w:val="7"/>
          <w:sz w:val="30"/>
          <w:szCs w:val="30"/>
        </w:rPr>
        <w:t xml:space="preserve"> </w:t>
      </w:r>
      <w:r>
        <w:rPr>
          <w:spacing w:val="-7"/>
          <w:sz w:val="30"/>
          <w:szCs w:val="30"/>
        </w:rPr>
        <w:t>于</w:t>
      </w:r>
      <w:r>
        <w:rPr>
          <w:spacing w:val="-6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30"/>
          <w:szCs w:val="30"/>
        </w:rPr>
        <w:t xml:space="preserve">2021 </w:t>
      </w:r>
      <w:r>
        <w:rPr>
          <w:spacing w:val="-7"/>
          <w:sz w:val="30"/>
          <w:szCs w:val="30"/>
        </w:rPr>
        <w:t>年</w:t>
      </w:r>
      <w:r>
        <w:rPr>
          <w:spacing w:val="-6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30"/>
          <w:szCs w:val="30"/>
        </w:rPr>
        <w:t>7</w:t>
      </w:r>
      <w:r>
        <w:rPr>
          <w:rFonts w:ascii="Times New Roman" w:hAnsi="Times New Roman" w:eastAsia="Times New Roman" w:cs="Times New Roman"/>
          <w:spacing w:val="25"/>
          <w:sz w:val="30"/>
          <w:szCs w:val="30"/>
        </w:rPr>
        <w:t xml:space="preserve"> </w:t>
      </w:r>
      <w:r>
        <w:rPr>
          <w:spacing w:val="-7"/>
          <w:sz w:val="30"/>
          <w:szCs w:val="30"/>
        </w:rPr>
        <w:t>月</w:t>
      </w:r>
      <w:r>
        <w:rPr>
          <w:spacing w:val="-6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30"/>
          <w:szCs w:val="30"/>
        </w:rPr>
        <w:t xml:space="preserve">30  </w:t>
      </w:r>
      <w:r>
        <w:rPr>
          <w:spacing w:val="-7"/>
          <w:sz w:val="30"/>
          <w:szCs w:val="30"/>
        </w:rPr>
        <w:t>日获批为自治区级低碳试点旗县市，并依</w:t>
      </w:r>
      <w:r>
        <w:rPr>
          <w:spacing w:val="-8"/>
          <w:sz w:val="30"/>
          <w:szCs w:val="30"/>
        </w:rPr>
        <w:t>托低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碳试点旗县市为契机，编制了《根河市低碳旗县试点城市建设实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施方案》，积极谋划低碳试点旗县项目（根河市新型市区垃圾转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运站建设项目（一期</w:t>
      </w:r>
      <w:r>
        <w:rPr>
          <w:spacing w:val="11"/>
          <w:sz w:val="30"/>
          <w:szCs w:val="30"/>
        </w:rPr>
        <w:t>）），</w:t>
      </w:r>
      <w:r>
        <w:rPr>
          <w:spacing w:val="-4"/>
          <w:sz w:val="30"/>
          <w:szCs w:val="30"/>
        </w:rPr>
        <w:t>获得自治区生态保护专项资金支持。</w:t>
      </w:r>
    </w:p>
    <w:p>
      <w:pPr>
        <w:spacing w:line="317" w:lineRule="auto"/>
        <w:rPr>
          <w:sz w:val="30"/>
          <w:szCs w:val="30"/>
        </w:rPr>
        <w:sectPr>
          <w:headerReference r:id="rId22" w:type="default"/>
          <w:footerReference r:id="rId23" w:type="default"/>
          <w:pgSz w:w="11906" w:h="16839"/>
          <w:pgMar w:top="1191" w:right="1711" w:bottom="1152" w:left="1785" w:header="882" w:footer="987" w:gutter="0"/>
          <w:cols w:space="720" w:num="1"/>
        </w:sectPr>
      </w:pPr>
    </w:p>
    <w:p>
      <w:pPr>
        <w:spacing w:line="306" w:lineRule="auto"/>
        <w:rPr>
          <w:rFonts w:ascii="Arial"/>
          <w:sz w:val="21"/>
        </w:rPr>
      </w:pPr>
    </w:p>
    <w:p>
      <w:pPr>
        <w:spacing w:before="98" w:line="222" w:lineRule="auto"/>
        <w:ind w:left="50"/>
        <w:outlineLvl w:val="1"/>
        <w:rPr>
          <w:rFonts w:ascii="黑体" w:hAnsi="黑体" w:eastAsia="黑体" w:cs="黑体"/>
          <w:sz w:val="30"/>
          <w:szCs w:val="30"/>
        </w:rPr>
      </w:pPr>
      <w:bookmarkStart w:id="47" w:name="bookmark15"/>
      <w:bookmarkEnd w:id="47"/>
      <w:bookmarkStart w:id="48" w:name="bookmark6"/>
      <w:bookmarkEnd w:id="48"/>
      <w:r>
        <w:rPr>
          <w:rFonts w:ascii="黑体" w:hAnsi="黑体" w:eastAsia="黑体" w:cs="黑体"/>
          <w:spacing w:val="-6"/>
          <w:sz w:val="30"/>
          <w:szCs w:val="30"/>
        </w:rPr>
        <w:t>（二）不利因素</w:t>
      </w:r>
    </w:p>
    <w:p>
      <w:pPr>
        <w:pStyle w:val="2"/>
        <w:spacing w:before="155" w:line="317" w:lineRule="auto"/>
        <w:ind w:left="23" w:right="75" w:firstLine="606"/>
        <w:jc w:val="both"/>
        <w:rPr>
          <w:sz w:val="30"/>
          <w:szCs w:val="30"/>
        </w:rPr>
      </w:pPr>
      <w:r>
        <w:rPr>
          <w:b/>
          <w:bCs/>
          <w:spacing w:val="-6"/>
          <w:sz w:val="30"/>
          <w:szCs w:val="30"/>
        </w:rPr>
        <w:t>土地资源分布不均。</w:t>
      </w:r>
      <w:r>
        <w:rPr>
          <w:spacing w:val="-6"/>
          <w:sz w:val="30"/>
          <w:szCs w:val="30"/>
        </w:rPr>
        <w:t>根河市土地资源分布不均衡，以林地资</w:t>
      </w:r>
      <w:r>
        <w:rPr>
          <w:spacing w:val="17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源为主，耕地和建设用地面积占比不足</w:t>
      </w:r>
      <w:r>
        <w:rPr>
          <w:spacing w:val="-3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1%</w:t>
      </w:r>
      <w:r>
        <w:rPr>
          <w:rFonts w:ascii="Times New Roman" w:hAnsi="Times New Roman" w:eastAsia="Times New Roman" w:cs="Times New Roman"/>
          <w:spacing w:val="-34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，丰富的林地和湿地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资源使得土地利用的生态效益较高，但经济效益偏低，需要提高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建设用地集约利用效率；同时，国家主体功能区规划、大小兴安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岭林区生态保护与经济转型规划、国有林区全面禁伐等生态保护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政策的落实，进一步加剧土地利用结构对根河市经济发展的不利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影响，根河市传统的林木采伐、木材精深加工、矿产资源开发等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产业发展空间进一步缩小，而接替产业发展缓慢，经济转型过程</w:t>
      </w:r>
      <w:r>
        <w:rPr>
          <w:spacing w:val="8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面临诸多困难。</w:t>
      </w:r>
    </w:p>
    <w:p>
      <w:pPr>
        <w:pStyle w:val="2"/>
        <w:spacing w:before="58" w:line="317" w:lineRule="auto"/>
        <w:ind w:left="18" w:firstLine="606"/>
        <w:jc w:val="both"/>
        <w:rPr>
          <w:sz w:val="30"/>
          <w:szCs w:val="30"/>
        </w:rPr>
      </w:pPr>
      <w:r>
        <w:rPr>
          <w:b/>
          <w:bCs/>
          <w:spacing w:val="-2"/>
          <w:sz w:val="30"/>
          <w:szCs w:val="30"/>
        </w:rPr>
        <w:t>发展基础条件薄弱。</w:t>
      </w:r>
      <w:r>
        <w:rPr>
          <w:spacing w:val="-2"/>
          <w:sz w:val="30"/>
          <w:szCs w:val="30"/>
        </w:rPr>
        <w:t>根河市产业结构单一，</w:t>
      </w:r>
      <w:r>
        <w:rPr>
          <w:spacing w:val="-3"/>
          <w:sz w:val="30"/>
          <w:szCs w:val="30"/>
        </w:rPr>
        <w:t>经济总量偏小，</w:t>
      </w:r>
      <w:r>
        <w:rPr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自我发展不足。受自然环境和资源秉赋制约，非林产业</w:t>
      </w:r>
      <w:r>
        <w:rPr>
          <w:spacing w:val="-12"/>
          <w:sz w:val="30"/>
          <w:szCs w:val="30"/>
        </w:rPr>
        <w:t>发展缓慢，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地方经济陷入困境，加之体制不顺、经济基础薄弱、交通落后、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气候寒冷及资金、技术、人才短缺等因素，导致接续替代产业呈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现起点低、规模小起特点。城市基础设施和公共服务设施建设亟</w:t>
      </w:r>
      <w:r>
        <w:rPr>
          <w:spacing w:val="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需提高档次，尤其是旅游服务设施硬件和软件需要大幅度提高；</w:t>
      </w:r>
      <w:r>
        <w:rPr>
          <w:spacing w:val="4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群众就业渠道少，基本公共服务水平低；社会保障体系</w:t>
      </w:r>
      <w:r>
        <w:rPr>
          <w:spacing w:val="-12"/>
          <w:sz w:val="30"/>
          <w:szCs w:val="30"/>
        </w:rPr>
        <w:t>尚不完善，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改善民生和社会和谐稳定压力较大。体制性矛盾突出，区域经济</w:t>
      </w:r>
      <w:r>
        <w:rPr>
          <w:spacing w:val="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发展不协调。林区特殊的林业管理体制致使条块分割问题突出，</w:t>
      </w:r>
      <w:r>
        <w:rPr>
          <w:spacing w:val="4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境内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 xml:space="preserve">5 </w:t>
      </w:r>
      <w:r>
        <w:rPr>
          <w:spacing w:val="-1"/>
          <w:sz w:val="30"/>
          <w:szCs w:val="30"/>
        </w:rPr>
        <w:t>个林业局隶属于大兴安岭林业管理局，辖区内林业资源由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各驻在林业局管辖，阻碍了地区经济资源和行政资源的合理配置</w:t>
      </w:r>
      <w:r>
        <w:rPr>
          <w:spacing w:val="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与有效利用，严重制约了地区经济协调发展。</w:t>
      </w:r>
    </w:p>
    <w:p>
      <w:pPr>
        <w:pStyle w:val="2"/>
        <w:spacing w:before="50" w:line="312" w:lineRule="auto"/>
        <w:ind w:left="22" w:right="55" w:firstLine="612"/>
        <w:jc w:val="both"/>
        <w:rPr>
          <w:sz w:val="30"/>
          <w:szCs w:val="30"/>
        </w:rPr>
      </w:pPr>
      <w:r>
        <w:rPr>
          <w:b/>
          <w:bCs/>
          <w:spacing w:val="-2"/>
          <w:sz w:val="30"/>
          <w:szCs w:val="30"/>
        </w:rPr>
        <w:t>节能降碳压力较大。</w:t>
      </w:r>
      <w:r>
        <w:rPr>
          <w:spacing w:val="-2"/>
          <w:sz w:val="30"/>
          <w:szCs w:val="30"/>
        </w:rPr>
        <w:t>根河市能耗总量和单位</w:t>
      </w:r>
      <w:r>
        <w:rPr>
          <w:spacing w:val="-6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GDP</w:t>
      </w:r>
      <w:r>
        <w:rPr>
          <w:rFonts w:ascii="Times New Roman" w:hAnsi="Times New Roman" w:eastAsia="Times New Roman" w:cs="Times New Roman"/>
          <w:spacing w:val="41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能耗均呈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下降趋势，但规模以上工业企业在工业增加值降低，工业增加值</w:t>
      </w:r>
      <w:r>
        <w:rPr>
          <w:spacing w:val="9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增速放缓的情况下，工业企业的单位增加值能耗并未同步降低，</w:t>
      </w:r>
      <w:r>
        <w:rPr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从用能种类上看，传统能源依然占主导地位，清洁能源和可再生</w:t>
      </w:r>
    </w:p>
    <w:p>
      <w:pPr>
        <w:spacing w:line="312" w:lineRule="auto"/>
        <w:rPr>
          <w:sz w:val="30"/>
          <w:szCs w:val="30"/>
        </w:rPr>
        <w:sectPr>
          <w:headerReference r:id="rId24" w:type="default"/>
          <w:footerReference r:id="rId25" w:type="default"/>
          <w:pgSz w:w="11906" w:h="16839"/>
          <w:pgMar w:top="1191" w:right="1723" w:bottom="1150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314" w:lineRule="auto"/>
        <w:ind w:left="18" w:right="293" w:firstLine="32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能源的替代能力偏弱。由于根河市工业结构单一，规上企业主要</w:t>
      </w:r>
      <w:r>
        <w:rPr>
          <w:spacing w:val="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以铅锌矿企为主，铅锌矿产值受市场波动影响较大，加上极寒天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气导致每年生产时间仅</w:t>
      </w:r>
      <w:r>
        <w:rPr>
          <w:spacing w:val="-5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 xml:space="preserve">7 </w:t>
      </w:r>
      <w:r>
        <w:rPr>
          <w:spacing w:val="-4"/>
          <w:sz w:val="30"/>
          <w:szCs w:val="30"/>
        </w:rPr>
        <w:t>个月左右，所以在根河市工业增加值整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体呈下降趋势的同时，用水量并未同步下降，在调整工业结构和</w:t>
      </w:r>
      <w:r>
        <w:rPr>
          <w:spacing w:val="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工业节水方面压力较大。</w:t>
      </w:r>
    </w:p>
    <w:p>
      <w:pPr>
        <w:pStyle w:val="2"/>
        <w:spacing w:before="59" w:line="317" w:lineRule="auto"/>
        <w:ind w:left="17" w:right="210" w:firstLine="626"/>
        <w:jc w:val="both"/>
        <w:rPr>
          <w:sz w:val="30"/>
          <w:szCs w:val="30"/>
        </w:rPr>
      </w:pPr>
      <w:r>
        <w:rPr>
          <w:b/>
          <w:bCs/>
          <w:spacing w:val="-6"/>
          <w:sz w:val="30"/>
          <w:szCs w:val="30"/>
        </w:rPr>
        <w:t>生态屏障仍需完善。</w:t>
      </w:r>
      <w:r>
        <w:rPr>
          <w:spacing w:val="-6"/>
          <w:sz w:val="30"/>
          <w:szCs w:val="30"/>
        </w:rPr>
        <w:t>根河市森林面积广阔，绝大部分地区属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于大兴安岭山地寒温型湿润森林生态区，自然气候融冻引起的水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土流失以及过去过度砍伐导致的森林生态系统涵养水源、保持水</w:t>
      </w:r>
      <w:r>
        <w:rPr>
          <w:spacing w:val="13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土的服务功能有所削弱，重要生态系统的保护与修复需要加强，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呼伦贝尔大草原、东北平原的生态屏障建设仍需完善，森林生态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系统的进一步管护面临巨大压力。湿地保护与开发利用之间的矛</w:t>
      </w:r>
      <w:r>
        <w:rPr>
          <w:spacing w:val="13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盾日益尖锐，由于自然和人为因素，遭受破坏湿地恢复难度较大。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根河市生物多样性丰富，境内有全国唯一的集中连片寒温带原始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针叶林，目前根河市生物多样性保护形式单一，随着气候变化加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剧，生物多样性保护存在风险。保护地区域地理位置偏僻加上极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端天气等原因，监管方式和监管能力有待提升，制约生物多样性</w:t>
      </w:r>
      <w:r>
        <w:rPr>
          <w:spacing w:val="13"/>
          <w:sz w:val="30"/>
          <w:szCs w:val="30"/>
        </w:rPr>
        <w:t xml:space="preserve"> </w:t>
      </w:r>
      <w:bookmarkStart w:id="49" w:name="bookmark8"/>
      <w:bookmarkEnd w:id="49"/>
      <w:r>
        <w:rPr>
          <w:spacing w:val="-1"/>
          <w:sz w:val="30"/>
          <w:szCs w:val="30"/>
        </w:rPr>
        <w:t>可持续保护。</w:t>
      </w:r>
    </w:p>
    <w:p>
      <w:pPr>
        <w:spacing w:before="48" w:line="223" w:lineRule="auto"/>
        <w:ind w:left="50"/>
        <w:outlineLvl w:val="1"/>
        <w:rPr>
          <w:rFonts w:ascii="黑体" w:hAnsi="黑体" w:eastAsia="黑体" w:cs="黑体"/>
          <w:sz w:val="30"/>
          <w:szCs w:val="30"/>
        </w:rPr>
      </w:pPr>
      <w:bookmarkStart w:id="50" w:name="bookmark17"/>
      <w:bookmarkEnd w:id="50"/>
      <w:r>
        <w:rPr>
          <w:rFonts w:ascii="黑体" w:hAnsi="黑体" w:eastAsia="黑体" w:cs="黑体"/>
          <w:spacing w:val="-6"/>
          <w:sz w:val="30"/>
          <w:szCs w:val="30"/>
        </w:rPr>
        <w:t>（三）机遇挑战</w:t>
      </w:r>
    </w:p>
    <w:p>
      <w:pPr>
        <w:pStyle w:val="2"/>
        <w:spacing w:before="157" w:line="214" w:lineRule="auto"/>
        <w:ind w:left="620"/>
        <w:rPr>
          <w:sz w:val="30"/>
          <w:szCs w:val="30"/>
        </w:rPr>
      </w:pP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 xml:space="preserve">2022 </w:t>
      </w:r>
      <w:r>
        <w:rPr>
          <w:spacing w:val="-3"/>
          <w:sz w:val="30"/>
          <w:szCs w:val="30"/>
        </w:rPr>
        <w:t>年</w:t>
      </w:r>
      <w:r>
        <w:rPr>
          <w:spacing w:val="-2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10</w:t>
      </w:r>
      <w:r>
        <w:rPr>
          <w:rFonts w:ascii="Times New Roman" w:hAnsi="Times New Roman" w:eastAsia="Times New Roman" w:cs="Times New Roman"/>
          <w:spacing w:val="28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月，站在第二个百年奋斗目标新征程的起点上，</w:t>
      </w:r>
    </w:p>
    <w:p>
      <w:pPr>
        <w:pStyle w:val="2"/>
        <w:spacing w:before="173" w:line="309" w:lineRule="auto"/>
        <w:ind w:left="29" w:firstLine="11"/>
        <w:rPr>
          <w:sz w:val="30"/>
          <w:szCs w:val="30"/>
        </w:rPr>
      </w:pPr>
      <w:r>
        <w:rPr>
          <w:spacing w:val="-5"/>
          <w:sz w:val="30"/>
          <w:szCs w:val="30"/>
        </w:rPr>
        <w:t>党的二十大</w:t>
      </w:r>
      <w:bookmarkStart w:id="98" w:name="_GoBack"/>
      <w:bookmarkEnd w:id="98"/>
      <w:r>
        <w:rPr>
          <w:spacing w:val="-5"/>
          <w:sz w:val="30"/>
          <w:szCs w:val="30"/>
        </w:rPr>
        <w:t>报告以“推动绿色发展，促进人与自然和谐共生”</w:t>
      </w:r>
      <w:r>
        <w:rPr>
          <w:spacing w:val="1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为题，为当前和今后一段时间我国生态文明建设擘画了宏伟蓝图、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指明了前进方向。习近平总书记对内蒙古的重要讲话指示精神，</w:t>
      </w:r>
    </w:p>
    <w:p>
      <w:pPr>
        <w:pStyle w:val="2"/>
        <w:spacing w:before="54" w:line="312" w:lineRule="auto"/>
        <w:ind w:left="35" w:right="293"/>
        <w:rPr>
          <w:sz w:val="30"/>
          <w:szCs w:val="30"/>
        </w:rPr>
      </w:pPr>
      <w:r>
        <w:rPr>
          <w:spacing w:val="-4"/>
          <w:sz w:val="30"/>
          <w:szCs w:val="30"/>
        </w:rPr>
        <w:t>为建设美丽根河提供了根本遵循和行动指南。根河所在</w:t>
      </w:r>
      <w:r>
        <w:rPr>
          <w:spacing w:val="-5"/>
          <w:sz w:val="30"/>
          <w:szCs w:val="30"/>
        </w:rPr>
        <w:t>的蒙东及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东北地区作为我国最大的森林资源集中地，是吸纳碳排</w:t>
      </w:r>
      <w:r>
        <w:rPr>
          <w:spacing w:val="-5"/>
          <w:sz w:val="30"/>
          <w:szCs w:val="30"/>
        </w:rPr>
        <w:t>放的重要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“碳汇”地区，在增加碳吸收、减缓碳排放方面有巨大</w:t>
      </w:r>
      <w:r>
        <w:rPr>
          <w:spacing w:val="-5"/>
          <w:sz w:val="30"/>
          <w:szCs w:val="30"/>
        </w:rPr>
        <w:t>贡献，是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我国实现低碳可持续发展路径中不可或缺的原动力地区</w:t>
      </w:r>
      <w:r>
        <w:rPr>
          <w:spacing w:val="-5"/>
          <w:sz w:val="30"/>
          <w:szCs w:val="30"/>
        </w:rPr>
        <w:t>。新一轮</w:t>
      </w:r>
    </w:p>
    <w:p>
      <w:pPr>
        <w:spacing w:line="312" w:lineRule="auto"/>
        <w:rPr>
          <w:sz w:val="30"/>
          <w:szCs w:val="30"/>
        </w:rPr>
        <w:sectPr>
          <w:headerReference r:id="rId26" w:type="default"/>
          <w:footerReference r:id="rId27" w:type="default"/>
          <w:pgSz w:w="11906" w:h="16839"/>
          <w:pgMar w:top="1191" w:right="1505" w:bottom="1152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314" w:lineRule="auto"/>
        <w:ind w:left="23" w:right="151" w:firstLine="11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东北振兴战略实施，为根河市主动融入国家和自治区发</w:t>
      </w:r>
      <w:r>
        <w:rPr>
          <w:spacing w:val="-5"/>
          <w:sz w:val="30"/>
          <w:szCs w:val="30"/>
        </w:rPr>
        <w:t>展战略大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局，优化产业结构，推动产业振兴发展，加快构建具有根河特色</w:t>
      </w:r>
      <w:r>
        <w:rPr>
          <w:spacing w:val="8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的现代化产业体系，走出一条高质量发展、</w:t>
      </w:r>
      <w:r>
        <w:rPr>
          <w:spacing w:val="-12"/>
          <w:sz w:val="30"/>
          <w:szCs w:val="30"/>
        </w:rPr>
        <w:t>可持续振兴的新路子，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建设幸福美丽根河提供有力的政策性保障。但是，根河市在持续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推进生态文明建设中仍然面临一系列挑战和压力。</w:t>
      </w:r>
    </w:p>
    <w:p>
      <w:pPr>
        <w:pStyle w:val="2"/>
        <w:spacing w:before="49" w:line="316" w:lineRule="auto"/>
        <w:ind w:left="25" w:firstLine="618"/>
        <w:rPr>
          <w:sz w:val="30"/>
          <w:szCs w:val="30"/>
        </w:rPr>
      </w:pPr>
      <w:r>
        <w:rPr>
          <w:b/>
          <w:bCs/>
          <w:spacing w:val="-7"/>
          <w:sz w:val="30"/>
          <w:szCs w:val="30"/>
        </w:rPr>
        <w:t>一是筑牢大兴安岭生态安全屏障任务艰巨。</w:t>
      </w:r>
      <w:r>
        <w:rPr>
          <w:spacing w:val="-7"/>
          <w:sz w:val="30"/>
          <w:szCs w:val="30"/>
        </w:rPr>
        <w:t>根河市</w:t>
      </w:r>
      <w:r>
        <w:rPr>
          <w:spacing w:val="-8"/>
          <w:sz w:val="30"/>
          <w:szCs w:val="30"/>
        </w:rPr>
        <w:t>是大兴安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岭森林生态功能区的重要组成部分，主体功能区划中对这一区域</w:t>
      </w:r>
      <w:r>
        <w:rPr>
          <w:spacing w:val="2"/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要求生态服务功能增强，生态环境质量改善，</w:t>
      </w:r>
      <w:r>
        <w:rPr>
          <w:sz w:val="30"/>
          <w:szCs w:val="30"/>
        </w:rPr>
        <w:t xml:space="preserve">森林蓄积量增加。 </w:t>
      </w:r>
      <w:r>
        <w:rPr>
          <w:spacing w:val="1"/>
          <w:sz w:val="30"/>
          <w:szCs w:val="30"/>
        </w:rPr>
        <w:t>从总体上看，根河市在整体保护、系统修复、综合治理等方面，</w:t>
      </w:r>
      <w:r>
        <w:rPr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特别是山水林田湖草一体化治理仍需提升，森林生态</w:t>
      </w:r>
      <w:r>
        <w:rPr>
          <w:spacing w:val="-7"/>
          <w:sz w:val="30"/>
          <w:szCs w:val="30"/>
        </w:rPr>
        <w:t>系统功能弱，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自然生态系统的稳定性、持续性、多样性不高。未来，随着经济</w:t>
      </w:r>
      <w:r>
        <w:rPr>
          <w:spacing w:val="2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发展不断加速，资源环境约束持续加大，加之极寒气候条件，根</w:t>
      </w:r>
      <w:r>
        <w:rPr>
          <w:spacing w:val="2"/>
          <w:sz w:val="30"/>
          <w:szCs w:val="30"/>
        </w:rPr>
        <w:t xml:space="preserve">  </w:t>
      </w:r>
      <w:r>
        <w:rPr>
          <w:spacing w:val="-1"/>
          <w:sz w:val="30"/>
          <w:szCs w:val="30"/>
        </w:rPr>
        <w:t>河市生态安全屏障保护任务极其艰巨。</w:t>
      </w:r>
    </w:p>
    <w:p>
      <w:pPr>
        <w:pStyle w:val="2"/>
        <w:spacing w:before="58" w:line="317" w:lineRule="auto"/>
        <w:ind w:left="18" w:right="193" w:firstLine="623"/>
        <w:rPr>
          <w:sz w:val="30"/>
          <w:szCs w:val="30"/>
        </w:rPr>
      </w:pPr>
      <w:r>
        <w:rPr>
          <w:b/>
          <w:bCs/>
          <w:spacing w:val="-7"/>
          <w:sz w:val="30"/>
          <w:szCs w:val="30"/>
        </w:rPr>
        <w:t>二是持续改善生态环境迎来巨大挑战。</w:t>
      </w:r>
      <w:r>
        <w:rPr>
          <w:spacing w:val="-7"/>
          <w:sz w:val="30"/>
          <w:szCs w:val="30"/>
        </w:rPr>
        <w:t>近年来，根河市通过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实施大气污染防治行动计划、蓝天保卫战、碧水保卫战、生态保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护修复等工作，环境质量持续改善，生态质量稳定保持在一类水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平。但随着落后产能淘汰，燃煤锅炉改造，重点区域、流域和行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业综合整治及末端治理设施建设等污染治理工程完成，污染减排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潜力逐渐变小，生态环境状况进一步改善提升的空间变窄、难度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加大。特别是根河市能源结构转型短期内难以发生根本改变，大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气环境保护的结构性、根源性压力总体上仍将处于高位，污染物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进一步减排空间越来越小，进一步改善空气质量面临较大挑战和</w:t>
      </w:r>
      <w:r>
        <w:rPr>
          <w:spacing w:val="12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压力。未来，根河市尚需在污染源头预防、多污染物协同控制、</w:t>
      </w:r>
      <w:r>
        <w:rPr>
          <w:spacing w:val="1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新污染物防治、区域流域综合治理等方面加大力度，补齐生态环</w:t>
      </w:r>
      <w:r>
        <w:rPr>
          <w:spacing w:val="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境治理短板，破解生态环境全面改善的关键制约因素。</w:t>
      </w:r>
    </w:p>
    <w:p>
      <w:pPr>
        <w:pStyle w:val="2"/>
        <w:spacing w:before="52" w:line="213" w:lineRule="auto"/>
        <w:ind w:left="648"/>
        <w:rPr>
          <w:sz w:val="30"/>
          <w:szCs w:val="30"/>
        </w:rPr>
      </w:pPr>
      <w:r>
        <w:rPr>
          <w:b/>
          <w:bCs/>
          <w:spacing w:val="-8"/>
          <w:sz w:val="30"/>
          <w:szCs w:val="30"/>
        </w:rPr>
        <w:t>三是正确处理生态环境保护与经济发展的关系。</w:t>
      </w:r>
      <w:r>
        <w:rPr>
          <w:spacing w:val="-8"/>
          <w:sz w:val="30"/>
          <w:szCs w:val="30"/>
        </w:rPr>
        <w:t>根河市所在</w:t>
      </w:r>
    </w:p>
    <w:p>
      <w:pPr>
        <w:spacing w:line="213" w:lineRule="auto"/>
        <w:rPr>
          <w:sz w:val="30"/>
          <w:szCs w:val="30"/>
        </w:rPr>
        <w:sectPr>
          <w:headerReference r:id="rId28" w:type="default"/>
          <w:footerReference r:id="rId29" w:type="default"/>
          <w:pgSz w:w="11906" w:h="16839"/>
          <w:pgMar w:top="1191" w:right="1572" w:bottom="1152" w:left="1785" w:header="882" w:footer="987" w:gutter="0"/>
          <w:cols w:space="720" w:num="1"/>
        </w:sectPr>
      </w:pPr>
    </w:p>
    <w:p>
      <w:pPr>
        <w:spacing w:line="317" w:lineRule="auto"/>
        <w:rPr>
          <w:rFonts w:ascii="Arial"/>
          <w:sz w:val="21"/>
        </w:rPr>
      </w:pPr>
    </w:p>
    <w:p>
      <w:pPr>
        <w:pStyle w:val="2"/>
        <w:spacing w:before="97" w:line="317" w:lineRule="auto"/>
        <w:ind w:left="21" w:right="62" w:firstLine="30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的大兴安岭区域是我国北方重要生态安全屏障，经济发展相对落</w:t>
      </w:r>
      <w:r>
        <w:rPr>
          <w:spacing w:val="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后，生态环境保护是根河市的首要任务，但转型期的经济发展又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是根河市强烈的现实需求，区域生态环境保护与经济社会发展的</w:t>
      </w:r>
      <w:r>
        <w:rPr>
          <w:spacing w:val="10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矛盾较为突出。一方面要保护好生态环境，守好北方生态屏障，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保证东北平原乃至东北亚地区的生态安全。另一方面根河市正处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于转型发展的关键阶段，促发展、惠民生是全市社会经济发展各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项工作的主线。面对这一客观实际和突出矛盾，根河市该如何充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分融入新一轮振兴东北发展进程中，创新发展方式，推动经济发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展与生态保护相协调、相促进，使居民从生态保护与修复中得到</w:t>
      </w:r>
      <w:r>
        <w:rPr>
          <w:spacing w:val="10"/>
          <w:sz w:val="30"/>
          <w:szCs w:val="30"/>
        </w:rPr>
        <w:t xml:space="preserve"> </w:t>
      </w:r>
      <w:r>
        <w:rPr>
          <w:spacing w:val="-14"/>
          <w:sz w:val="30"/>
          <w:szCs w:val="30"/>
        </w:rPr>
        <w:t>更多实惠，实现经济发展与生态环境保护“双赢”；如何科学“变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现”生态资产，释放生态经济发展的活力，增进人民福祉，这些</w:t>
      </w:r>
      <w:r>
        <w:rPr>
          <w:spacing w:val="10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都是根河市持续开展生态文明建设面临的巨大挑战。</w:t>
      </w:r>
    </w:p>
    <w:p>
      <w:pPr>
        <w:pStyle w:val="2"/>
        <w:spacing w:before="55" w:line="317" w:lineRule="auto"/>
        <w:ind w:left="22" w:firstLine="638"/>
        <w:jc w:val="both"/>
        <w:rPr>
          <w:sz w:val="30"/>
          <w:szCs w:val="30"/>
        </w:rPr>
      </w:pPr>
      <w:r>
        <w:rPr>
          <w:b/>
          <w:bCs/>
          <w:spacing w:val="-8"/>
          <w:sz w:val="30"/>
          <w:szCs w:val="30"/>
        </w:rPr>
        <w:t>四是资源环境紧约束下的经济社会转型发展需求。</w:t>
      </w:r>
      <w:r>
        <w:rPr>
          <w:spacing w:val="-8"/>
          <w:sz w:val="30"/>
          <w:szCs w:val="30"/>
        </w:rPr>
        <w:t>根</w:t>
      </w:r>
      <w:r>
        <w:rPr>
          <w:spacing w:val="-9"/>
          <w:sz w:val="30"/>
          <w:szCs w:val="30"/>
        </w:rPr>
        <w:t>河市在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过去十多年的快速发展、工业化过程中，伴随着资源高消耗、城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市人口过度集聚、乡镇逐渐衰弱等现象。进入新时代，依靠要素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低成本的粗放型、低效率增长模式已经难以持续，意味着经济社</w:t>
      </w:r>
      <w:r>
        <w:rPr>
          <w:spacing w:val="9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会需要向形态优化、分工细化、结构合理化的新阶段演化与转型。</w:t>
      </w:r>
      <w:r>
        <w:rPr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根河市生态资源优势突出，但生态产品转化为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“</w:t>
      </w:r>
      <w:r>
        <w:rPr>
          <w:spacing w:val="-3"/>
          <w:sz w:val="30"/>
          <w:szCs w:val="30"/>
        </w:rPr>
        <w:t>金山银山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”</w:t>
      </w:r>
      <w:r>
        <w:rPr>
          <w:spacing w:val="-3"/>
          <w:sz w:val="30"/>
          <w:szCs w:val="30"/>
        </w:rPr>
        <w:t>的能力</w:t>
      </w:r>
      <w:r>
        <w:rPr>
          <w:spacing w:val="1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较弱、渠道不畅，尚未形成规模化、高值化的生态产业链。在高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质量发展背景下，全面推进产业结构调整、升级，着力延长生态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产业链条，做大绿色经济规模，提高产业生态效率，是根河市开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展生态文明建设的重中之重，也是推进高质量发展面临的重大挑</w:t>
      </w:r>
      <w:r>
        <w:rPr>
          <w:spacing w:val="9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战。</w:t>
      </w:r>
    </w:p>
    <w:p>
      <w:pPr>
        <w:pStyle w:val="2"/>
        <w:spacing w:before="49" w:line="309" w:lineRule="auto"/>
        <w:ind w:left="18" w:right="82" w:firstLine="617"/>
        <w:jc w:val="both"/>
        <w:rPr>
          <w:sz w:val="30"/>
          <w:szCs w:val="30"/>
        </w:rPr>
      </w:pPr>
      <w:r>
        <w:rPr>
          <w:b/>
          <w:bCs/>
          <w:spacing w:val="-7"/>
          <w:sz w:val="30"/>
          <w:szCs w:val="30"/>
        </w:rPr>
        <w:t>五是生态环境治理体系亟待完善。</w:t>
      </w:r>
      <w:r>
        <w:rPr>
          <w:spacing w:val="-7"/>
          <w:sz w:val="30"/>
          <w:szCs w:val="30"/>
        </w:rPr>
        <w:t>根河市在现代环境治理体</w:t>
      </w:r>
      <w:r>
        <w:rPr>
          <w:spacing w:val="1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系和治理能力方面与生态文明建设要求仍然存在差距。从生态环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境治理制度看，地方政府与相关部门领导责任体系不健全，全社</w:t>
      </w:r>
    </w:p>
    <w:p>
      <w:pPr>
        <w:spacing w:line="309" w:lineRule="auto"/>
        <w:rPr>
          <w:sz w:val="30"/>
          <w:szCs w:val="30"/>
        </w:rPr>
        <w:sectPr>
          <w:headerReference r:id="rId30" w:type="default"/>
          <w:footerReference r:id="rId31" w:type="default"/>
          <w:pgSz w:w="11906" w:h="16839"/>
          <w:pgMar w:top="1191" w:right="1716" w:bottom="1152" w:left="1785" w:header="882" w:footer="987" w:gutter="0"/>
          <w:cols w:space="720" w:num="1"/>
        </w:sectPr>
      </w:pPr>
    </w:p>
    <w:p>
      <w:pPr>
        <w:spacing w:line="315" w:lineRule="auto"/>
        <w:rPr>
          <w:rFonts w:ascii="Arial"/>
          <w:sz w:val="21"/>
        </w:rPr>
      </w:pPr>
    </w:p>
    <w:p>
      <w:pPr>
        <w:pStyle w:val="2"/>
        <w:spacing w:before="97" w:line="317" w:lineRule="auto"/>
        <w:ind w:left="21" w:firstLine="9"/>
        <w:rPr>
          <w:sz w:val="30"/>
          <w:szCs w:val="30"/>
        </w:rPr>
      </w:pPr>
      <w:r>
        <w:rPr>
          <w:spacing w:val="-4"/>
          <w:sz w:val="30"/>
          <w:szCs w:val="30"/>
        </w:rPr>
        <w:t>会共同参与生态环境保护的机制仍不完善，相关责任主体内生动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力不足，更多依靠行政手段。从生态环境治理手段看，环境保护</w:t>
      </w:r>
      <w:r>
        <w:rPr>
          <w:spacing w:val="5"/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市场化程度较低，绿色经济政策尚需深化。环境质量、污染源、</w:t>
      </w:r>
      <w:r>
        <w:rPr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生物多样性保护监测与信息化建设体系滞后，科技创新能力不足，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监管力量相对薄弱，与</w:t>
      </w:r>
      <w:r>
        <w:rPr>
          <w:spacing w:val="-8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日益繁重的生态环境监管</w:t>
      </w:r>
      <w:r>
        <w:rPr>
          <w:spacing w:val="-2"/>
          <w:sz w:val="30"/>
          <w:szCs w:val="30"/>
        </w:rPr>
        <w:t>任务不相匹配，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与上级要求有一定的差距，尚不能满足科学治污、精准治污新要</w:t>
      </w:r>
      <w:r>
        <w:rPr>
          <w:spacing w:val="5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求。从生态环境治理投入看，生态环境治理资金缺口较大，资金</w:t>
      </w:r>
      <w:r>
        <w:rPr>
          <w:spacing w:val="5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投入渠道单一，对企业治污管理税收优惠、投资补贴等缺少激励</w:t>
      </w:r>
      <w:r>
        <w:rPr>
          <w:spacing w:val="5"/>
          <w:sz w:val="30"/>
          <w:szCs w:val="30"/>
        </w:rPr>
        <w:t xml:space="preserve">  </w:t>
      </w:r>
      <w:r>
        <w:rPr>
          <w:spacing w:val="-2"/>
          <w:sz w:val="30"/>
          <w:szCs w:val="30"/>
        </w:rPr>
        <w:t>政策，生态优势和冰雪资源向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“</w:t>
      </w:r>
      <w:r>
        <w:rPr>
          <w:spacing w:val="-2"/>
          <w:sz w:val="30"/>
          <w:szCs w:val="30"/>
        </w:rPr>
        <w:t>金山银山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”</w:t>
      </w:r>
      <w:r>
        <w:rPr>
          <w:spacing w:val="-3"/>
          <w:sz w:val="30"/>
          <w:szCs w:val="30"/>
        </w:rPr>
        <w:t>转化实现机制亟待建立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健全，生态补偿机制、市场化投融资机制不甚完善，社会资金投</w:t>
      </w:r>
      <w:r>
        <w:rPr>
          <w:spacing w:val="5"/>
          <w:sz w:val="30"/>
          <w:szCs w:val="30"/>
        </w:rPr>
        <w:t xml:space="preserve">  </w:t>
      </w:r>
      <w:r>
        <w:rPr>
          <w:spacing w:val="-2"/>
          <w:sz w:val="30"/>
          <w:szCs w:val="30"/>
        </w:rPr>
        <w:t>入较少。</w:t>
      </w:r>
    </w:p>
    <w:p>
      <w:pPr>
        <w:spacing w:before="196" w:line="227" w:lineRule="auto"/>
        <w:ind w:left="31"/>
        <w:outlineLvl w:val="1"/>
        <w:rPr>
          <w:rFonts w:ascii="黑体" w:hAnsi="黑体" w:eastAsia="黑体" w:cs="黑体"/>
          <w:sz w:val="31"/>
          <w:szCs w:val="31"/>
        </w:rPr>
      </w:pPr>
      <w:bookmarkStart w:id="51" w:name="bookmark12"/>
      <w:bookmarkEnd w:id="51"/>
      <w:bookmarkStart w:id="52" w:name="bookmark10"/>
      <w:bookmarkEnd w:id="52"/>
      <w:r>
        <w:rPr>
          <w:rFonts w:ascii="黑体" w:hAnsi="黑体" w:eastAsia="黑体" w:cs="黑体"/>
          <w:b/>
          <w:bCs/>
          <w:spacing w:val="4"/>
          <w:sz w:val="31"/>
          <w:szCs w:val="31"/>
        </w:rPr>
        <w:t>二、规划总则</w:t>
      </w:r>
    </w:p>
    <w:p>
      <w:pPr>
        <w:spacing w:before="250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6"/>
          <w:sz w:val="30"/>
          <w:szCs w:val="30"/>
        </w:rPr>
        <w:t>（一）规划定位</w:t>
      </w:r>
    </w:p>
    <w:p>
      <w:pPr>
        <w:pStyle w:val="2"/>
        <w:spacing w:before="155" w:line="317" w:lineRule="auto"/>
        <w:ind w:left="25" w:right="151" w:firstLine="641"/>
        <w:jc w:val="both"/>
        <w:rPr>
          <w:sz w:val="30"/>
          <w:szCs w:val="30"/>
        </w:rPr>
      </w:pPr>
      <w:r>
        <w:rPr>
          <w:spacing w:val="6"/>
          <w:sz w:val="30"/>
          <w:szCs w:val="30"/>
        </w:rPr>
        <w:t>以</w:t>
      </w:r>
      <w:r>
        <w:rPr>
          <w:rFonts w:hint="eastAsia"/>
          <w:spacing w:val="6"/>
          <w:sz w:val="30"/>
          <w:szCs w:val="30"/>
        </w:rPr>
        <w:t>习近平生态文明思想</w:t>
      </w:r>
      <w:r>
        <w:rPr>
          <w:spacing w:val="6"/>
          <w:sz w:val="30"/>
          <w:szCs w:val="30"/>
        </w:rPr>
        <w:t>和对内蒙古重要讲话精神为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指引，切实践行绿水青山就是金山银山发展理念，立足根河市情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和生态文明发展现状，坚持生态立市、绿色发展的总体方针，衔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接维护国家“五大安全”重要承载区战略要求，深入挖掘根河独</w:t>
      </w:r>
      <w:r>
        <w:rPr>
          <w:spacing w:val="5"/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特的区位、资源、政策优势，牢固树立“绿水青山就是金山银山，</w:t>
      </w:r>
      <w:r>
        <w:rPr>
          <w:spacing w:val="1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冰天雪地也是金山银山”理念，坚持走生态优先、绿色低碳的高</w:t>
      </w:r>
      <w:r>
        <w:rPr>
          <w:spacing w:val="5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质量发展之路，以中国泛北极圈经济文化交流窗</w:t>
      </w:r>
      <w:r>
        <w:rPr>
          <w:spacing w:val="-84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口、</w:t>
      </w:r>
      <w:r>
        <w:rPr>
          <w:spacing w:val="-7"/>
          <w:sz w:val="30"/>
          <w:szCs w:val="30"/>
        </w:rPr>
        <w:t>魅力绿色开</w:t>
      </w:r>
      <w:r>
        <w:rPr>
          <w:sz w:val="30"/>
          <w:szCs w:val="30"/>
        </w:rPr>
        <w:t xml:space="preserve"> </w:t>
      </w:r>
      <w:r>
        <w:rPr>
          <w:spacing w:val="-9"/>
          <w:sz w:val="30"/>
          <w:szCs w:val="30"/>
        </w:rPr>
        <w:t>放和谐“</w:t>
      </w:r>
      <w:r>
        <w:rPr>
          <w:spacing w:val="-104"/>
          <w:sz w:val="30"/>
          <w:szCs w:val="30"/>
        </w:rPr>
        <w:t xml:space="preserve"> </w:t>
      </w:r>
      <w:r>
        <w:rPr>
          <w:spacing w:val="-9"/>
          <w:sz w:val="30"/>
          <w:szCs w:val="30"/>
        </w:rPr>
        <w:t>中国冷极”为</w:t>
      </w:r>
      <w:r>
        <w:rPr>
          <w:spacing w:val="-84"/>
          <w:sz w:val="30"/>
          <w:szCs w:val="30"/>
        </w:rPr>
        <w:t xml:space="preserve"> </w:t>
      </w:r>
      <w:r>
        <w:rPr>
          <w:spacing w:val="-9"/>
          <w:sz w:val="30"/>
          <w:szCs w:val="30"/>
        </w:rPr>
        <w:t>目标，努力打造</w:t>
      </w:r>
      <w:r>
        <w:rPr>
          <w:b/>
          <w:bCs/>
          <w:spacing w:val="-9"/>
          <w:sz w:val="30"/>
          <w:szCs w:val="30"/>
        </w:rPr>
        <w:t>“大兴安岭原始</w:t>
      </w:r>
      <w:r>
        <w:rPr>
          <w:b/>
          <w:bCs/>
          <w:spacing w:val="-10"/>
          <w:sz w:val="30"/>
          <w:szCs w:val="30"/>
        </w:rPr>
        <w:t>生态屏障</w:t>
      </w:r>
      <w:r>
        <w:rPr>
          <w:sz w:val="30"/>
          <w:szCs w:val="30"/>
        </w:rPr>
        <w:t xml:space="preserve"> </w:t>
      </w:r>
      <w:bookmarkStart w:id="53" w:name="bookmark14"/>
      <w:bookmarkEnd w:id="53"/>
      <w:r>
        <w:rPr>
          <w:b/>
          <w:bCs/>
          <w:spacing w:val="-7"/>
          <w:sz w:val="30"/>
          <w:szCs w:val="30"/>
        </w:rPr>
        <w:t>区、林海绿色经济创新发展区、生态产品价值实现创新区、生态</w:t>
      </w:r>
      <w:r>
        <w:rPr>
          <w:sz w:val="30"/>
          <w:szCs w:val="30"/>
        </w:rPr>
        <w:t xml:space="preserve">  </w:t>
      </w:r>
      <w:r>
        <w:rPr>
          <w:b/>
          <w:bCs/>
          <w:spacing w:val="-4"/>
          <w:sz w:val="30"/>
          <w:szCs w:val="30"/>
        </w:rPr>
        <w:t>人居典范区”</w:t>
      </w:r>
      <w:r>
        <w:rPr>
          <w:spacing w:val="-9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的国家生态文明建设根河样板。</w:t>
      </w:r>
    </w:p>
    <w:p>
      <w:pPr>
        <w:spacing w:before="51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6"/>
          <w:sz w:val="30"/>
          <w:szCs w:val="30"/>
        </w:rPr>
        <w:t>（二）指导思想</w:t>
      </w:r>
    </w:p>
    <w:p>
      <w:pPr>
        <w:pStyle w:val="2"/>
        <w:spacing w:before="162" w:line="303" w:lineRule="auto"/>
        <w:ind w:left="38" w:right="226" w:firstLine="600"/>
        <w:rPr>
          <w:sz w:val="30"/>
          <w:szCs w:val="30"/>
        </w:rPr>
      </w:pPr>
      <w:r>
        <w:rPr>
          <w:spacing w:val="-5"/>
          <w:sz w:val="30"/>
          <w:szCs w:val="30"/>
        </w:rPr>
        <w:t>坚持以习近平生态文明思想为指导，全面深入贯彻党的二十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大精神，落实习近平总书记在深入推进东北振</w:t>
      </w:r>
      <w:r>
        <w:rPr>
          <w:spacing w:val="-5"/>
          <w:sz w:val="30"/>
          <w:szCs w:val="30"/>
        </w:rPr>
        <w:t>兴座谈会上的重要</w:t>
      </w:r>
    </w:p>
    <w:p>
      <w:pPr>
        <w:spacing w:line="303" w:lineRule="auto"/>
        <w:rPr>
          <w:sz w:val="30"/>
          <w:szCs w:val="30"/>
        </w:rPr>
        <w:sectPr>
          <w:headerReference r:id="rId32" w:type="default"/>
          <w:footerReference r:id="rId33" w:type="default"/>
          <w:pgSz w:w="11906" w:h="16839"/>
          <w:pgMar w:top="1191" w:right="1572" w:bottom="1151" w:left="1785" w:header="882" w:footer="987" w:gutter="0"/>
          <w:cols w:space="720" w:num="1"/>
        </w:sectPr>
      </w:pPr>
    </w:p>
    <w:p>
      <w:pPr>
        <w:spacing w:line="306" w:lineRule="auto"/>
        <w:rPr>
          <w:rFonts w:ascii="Arial"/>
          <w:sz w:val="21"/>
        </w:rPr>
      </w:pPr>
    </w:p>
    <w:p>
      <w:pPr>
        <w:pStyle w:val="2"/>
        <w:spacing w:before="98" w:line="317" w:lineRule="auto"/>
        <w:ind w:right="18" w:firstLine="66"/>
        <w:jc w:val="both"/>
        <w:rPr>
          <w:sz w:val="30"/>
          <w:szCs w:val="30"/>
        </w:rPr>
      </w:pPr>
      <w:r>
        <w:rPr>
          <w:spacing w:val="2"/>
          <w:sz w:val="30"/>
          <w:szCs w:val="30"/>
        </w:rPr>
        <w:t>讲话和对内蒙古自治区重要讲话重要指示批示精神，牢记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>“</w:t>
      </w:r>
      <w:r>
        <w:rPr>
          <w:spacing w:val="2"/>
          <w:sz w:val="30"/>
          <w:szCs w:val="30"/>
        </w:rPr>
        <w:t>筑牢</w:t>
      </w:r>
      <w:r>
        <w:rPr>
          <w:spacing w:val="4"/>
          <w:sz w:val="30"/>
          <w:szCs w:val="30"/>
        </w:rPr>
        <w:t xml:space="preserve"> </w:t>
      </w:r>
      <w:r>
        <w:rPr>
          <w:sz w:val="30"/>
          <w:szCs w:val="30"/>
        </w:rPr>
        <w:t>我国北方重要生态安全屏障</w:t>
      </w:r>
      <w:r>
        <w:rPr>
          <w:rFonts w:ascii="Times New Roman" w:hAnsi="Times New Roman" w:eastAsia="Times New Roman" w:cs="Times New Roman"/>
          <w:sz w:val="30"/>
          <w:szCs w:val="30"/>
        </w:rPr>
        <w:t>”</w:t>
      </w:r>
      <w:r>
        <w:rPr>
          <w:sz w:val="30"/>
          <w:szCs w:val="30"/>
        </w:rPr>
        <w:t>重要战略定位，树立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“</w:t>
      </w:r>
      <w:r>
        <w:rPr>
          <w:spacing w:val="-1"/>
          <w:sz w:val="30"/>
          <w:szCs w:val="30"/>
        </w:rPr>
        <w:t>绿水青山就是</w:t>
      </w:r>
      <w:r>
        <w:rPr>
          <w:sz w:val="30"/>
          <w:szCs w:val="30"/>
        </w:rPr>
        <w:t xml:space="preserve"> </w:t>
      </w:r>
      <w:r>
        <w:rPr>
          <w:spacing w:val="4"/>
          <w:sz w:val="30"/>
          <w:szCs w:val="30"/>
        </w:rPr>
        <w:t>金山银山，冰天雪地也是金山银山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>”</w:t>
      </w:r>
      <w:r>
        <w:rPr>
          <w:spacing w:val="4"/>
          <w:sz w:val="30"/>
          <w:szCs w:val="30"/>
        </w:rPr>
        <w:t>理念，站在人与自然和谐共</w:t>
      </w:r>
      <w:r>
        <w:rPr>
          <w:spacing w:val="12"/>
          <w:sz w:val="30"/>
          <w:szCs w:val="30"/>
        </w:rPr>
        <w:t xml:space="preserve"> </w:t>
      </w:r>
      <w:r>
        <w:rPr>
          <w:spacing w:val="9"/>
          <w:sz w:val="30"/>
          <w:szCs w:val="30"/>
        </w:rPr>
        <w:t>生的高度谋划发展，正确处理好新征程上推进生态文明建设的</w:t>
      </w:r>
      <w:r>
        <w:rPr>
          <w:spacing w:val="1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“</w:t>
      </w:r>
      <w:r>
        <w:rPr>
          <w:rFonts w:ascii="Times New Roman" w:hAnsi="Times New Roman" w:eastAsia="Times New Roman" w:cs="Times New Roman"/>
          <w:spacing w:val="-53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五个重大关系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”</w:t>
      </w:r>
      <w:r>
        <w:rPr>
          <w:rFonts w:ascii="Times New Roman" w:hAnsi="Times New Roman" w:eastAsia="Times New Roman" w:cs="Times New Roman"/>
          <w:spacing w:val="-33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，抓住新时代推动东北全面振兴、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“</w:t>
      </w:r>
      <w:r>
        <w:rPr>
          <w:rFonts w:ascii="Times New Roman" w:hAnsi="Times New Roman" w:eastAsia="Times New Roman" w:cs="Times New Roman"/>
          <w:spacing w:val="-45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一带一路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”</w:t>
      </w:r>
      <w:r>
        <w:rPr>
          <w:spacing w:val="-3"/>
          <w:sz w:val="30"/>
          <w:szCs w:val="30"/>
        </w:rPr>
        <w:t>倡</w:t>
      </w:r>
      <w:r>
        <w:rPr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议和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>“</w:t>
      </w:r>
      <w:r>
        <w:rPr>
          <w:spacing w:val="1"/>
          <w:sz w:val="30"/>
          <w:szCs w:val="30"/>
        </w:rPr>
        <w:t>双碳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>”</w:t>
      </w:r>
      <w:r>
        <w:rPr>
          <w:spacing w:val="1"/>
          <w:sz w:val="30"/>
          <w:szCs w:val="30"/>
        </w:rPr>
        <w:t>战略机遇，紧密衔接维护国家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>“</w:t>
      </w:r>
      <w:r>
        <w:rPr>
          <w:spacing w:val="1"/>
          <w:sz w:val="30"/>
          <w:szCs w:val="30"/>
        </w:rPr>
        <w:t>五大安全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>”</w:t>
      </w:r>
      <w:r>
        <w:rPr>
          <w:spacing w:val="1"/>
          <w:sz w:val="30"/>
          <w:szCs w:val="30"/>
        </w:rPr>
        <w:t>重要</w:t>
      </w:r>
      <w:r>
        <w:rPr>
          <w:sz w:val="30"/>
          <w:szCs w:val="30"/>
        </w:rPr>
        <w:t xml:space="preserve">承载区 </w:t>
      </w:r>
      <w:r>
        <w:rPr>
          <w:spacing w:val="2"/>
          <w:sz w:val="30"/>
          <w:szCs w:val="30"/>
        </w:rPr>
        <w:t>战略，紧紧围绕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>“</w:t>
      </w:r>
      <w:r>
        <w:rPr>
          <w:spacing w:val="2"/>
          <w:sz w:val="30"/>
          <w:szCs w:val="30"/>
        </w:rPr>
        <w:t>中国泛北极圈经济文化交流窗</w:t>
      </w:r>
      <w:r>
        <w:rPr>
          <w:spacing w:val="-82"/>
          <w:sz w:val="30"/>
          <w:szCs w:val="30"/>
        </w:rPr>
        <w:t xml:space="preserve"> </w:t>
      </w:r>
      <w:r>
        <w:rPr>
          <w:spacing w:val="2"/>
          <w:sz w:val="30"/>
          <w:szCs w:val="30"/>
        </w:rPr>
        <w:t>口、魅力绿色开</w:t>
      </w:r>
      <w:r>
        <w:rPr>
          <w:sz w:val="30"/>
          <w:szCs w:val="30"/>
        </w:rPr>
        <w:t xml:space="preserve"> 放和谐</w:t>
      </w:r>
      <w:r>
        <w:rPr>
          <w:rFonts w:ascii="Times New Roman" w:hAnsi="Times New Roman" w:eastAsia="Times New Roman" w:cs="Times New Roman"/>
          <w:sz w:val="30"/>
          <w:szCs w:val="30"/>
        </w:rPr>
        <w:t>‘</w:t>
      </w:r>
      <w:r>
        <w:rPr>
          <w:sz w:val="30"/>
          <w:szCs w:val="30"/>
        </w:rPr>
        <w:t>中国冷极</w:t>
      </w:r>
      <w:r>
        <w:rPr>
          <w:rFonts w:ascii="Times New Roman" w:hAnsi="Times New Roman" w:eastAsia="Times New Roman" w:cs="Times New Roman"/>
          <w:sz w:val="30"/>
          <w:szCs w:val="30"/>
        </w:rPr>
        <w:t>’”</w:t>
      </w:r>
      <w:r>
        <w:rPr>
          <w:sz w:val="30"/>
          <w:szCs w:val="30"/>
        </w:rPr>
        <w:t>市域发展战略定位，坚定</w:t>
      </w:r>
      <w:r>
        <w:rPr>
          <w:spacing w:val="-1"/>
          <w:sz w:val="30"/>
          <w:szCs w:val="30"/>
        </w:rPr>
        <w:t>不移走以生态优先、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绿色发展为导向的高质量发展新路子，保持经济持续健康发展和</w:t>
      </w:r>
      <w:r>
        <w:rPr>
          <w:spacing w:val="15"/>
          <w:sz w:val="30"/>
          <w:szCs w:val="30"/>
        </w:rPr>
        <w:t xml:space="preserve"> </w:t>
      </w:r>
      <w:r>
        <w:rPr>
          <w:sz w:val="30"/>
          <w:szCs w:val="30"/>
        </w:rPr>
        <w:t>社会大局稳定，建设繁荣发展、文明和谐、美</w:t>
      </w:r>
      <w:r>
        <w:rPr>
          <w:spacing w:val="-1"/>
          <w:sz w:val="30"/>
          <w:szCs w:val="30"/>
        </w:rPr>
        <w:t>丽幸福的根河市。</w:t>
      </w:r>
    </w:p>
    <w:p>
      <w:pPr>
        <w:spacing w:before="49" w:line="222" w:lineRule="auto"/>
        <w:ind w:left="90"/>
        <w:outlineLvl w:val="2"/>
        <w:rPr>
          <w:rFonts w:ascii="黑体" w:hAnsi="黑体" w:eastAsia="黑体" w:cs="黑体"/>
          <w:sz w:val="30"/>
          <w:szCs w:val="30"/>
        </w:rPr>
      </w:pPr>
      <w:bookmarkStart w:id="54" w:name="bookmark16"/>
      <w:bookmarkEnd w:id="54"/>
      <w:r>
        <w:rPr>
          <w:rFonts w:ascii="黑体" w:hAnsi="黑体" w:eastAsia="黑体" w:cs="黑体"/>
          <w:spacing w:val="-6"/>
          <w:sz w:val="30"/>
          <w:szCs w:val="30"/>
        </w:rPr>
        <w:t>（三）基本原则</w:t>
      </w:r>
    </w:p>
    <w:p>
      <w:pPr>
        <w:pStyle w:val="2"/>
        <w:spacing w:before="158" w:line="315" w:lineRule="auto"/>
        <w:ind w:left="58" w:right="55" w:firstLine="626"/>
        <w:jc w:val="both"/>
        <w:rPr>
          <w:sz w:val="30"/>
          <w:szCs w:val="30"/>
        </w:rPr>
      </w:pPr>
      <w:r>
        <w:rPr>
          <w:b/>
          <w:bCs/>
          <w:spacing w:val="-6"/>
          <w:sz w:val="30"/>
          <w:szCs w:val="30"/>
        </w:rPr>
        <w:t>生态优先，绿色发展。</w:t>
      </w:r>
      <w:r>
        <w:rPr>
          <w:spacing w:val="-6"/>
          <w:sz w:val="30"/>
          <w:szCs w:val="30"/>
        </w:rPr>
        <w:t>坚持以生态环境高水平保护推动经济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高质量发展，对生态保护红线范围等需要严格保护的区域实施强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制性保护，坚持“绿水青山就是金山银山，冰天雪地也是金山银</w:t>
      </w:r>
      <w:r>
        <w:rPr>
          <w:spacing w:val="13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山”新发展理念，走绿色富市、生态惠民的生态文明发展道路，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形成绿色发展方式和生活方式，在保护中促进发展，在发展中落</w:t>
      </w:r>
      <w:r>
        <w:rPr>
          <w:spacing w:val="13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实保护，推进经济社会生态效益相统一，实现美丽与发展双赢。</w:t>
      </w:r>
    </w:p>
    <w:p>
      <w:pPr>
        <w:pStyle w:val="2"/>
        <w:spacing w:before="47" w:line="315" w:lineRule="auto"/>
        <w:ind w:left="63" w:firstLine="616"/>
        <w:jc w:val="both"/>
        <w:rPr>
          <w:sz w:val="30"/>
          <w:szCs w:val="30"/>
        </w:rPr>
      </w:pPr>
      <w:r>
        <w:rPr>
          <w:b/>
          <w:bCs/>
          <w:spacing w:val="-14"/>
          <w:sz w:val="30"/>
          <w:szCs w:val="30"/>
        </w:rPr>
        <w:t>统筹协调，整体推进。</w:t>
      </w:r>
      <w:r>
        <w:rPr>
          <w:spacing w:val="-14"/>
          <w:sz w:val="30"/>
          <w:szCs w:val="30"/>
        </w:rPr>
        <w:t>坚持全域统筹，系统谋划，整体推进。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统筹推进城乡协调发展和山水林田湖草系统治理，结合不同区域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发展特色，将生态文明建设融入到经济建设、政治建设、文化建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设、社会建设各方面和全过程。坚持近期工作与实现长远发展目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标紧密结合，科学制定规划发展目标和具体举措，实现可持续发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展。加强与相邻旗县市联动，实现协同发展，合作共赢。</w:t>
      </w:r>
    </w:p>
    <w:p>
      <w:pPr>
        <w:pStyle w:val="2"/>
        <w:spacing w:before="53" w:line="309" w:lineRule="auto"/>
        <w:ind w:left="68" w:right="82" w:firstLine="603"/>
        <w:jc w:val="both"/>
        <w:rPr>
          <w:sz w:val="30"/>
          <w:szCs w:val="30"/>
        </w:rPr>
      </w:pPr>
      <w:r>
        <w:rPr>
          <w:b/>
          <w:bCs/>
          <w:spacing w:val="-6"/>
          <w:sz w:val="30"/>
          <w:szCs w:val="30"/>
        </w:rPr>
        <w:t>政府主导，社会参与。</w:t>
      </w:r>
      <w:r>
        <w:rPr>
          <w:spacing w:val="-6"/>
          <w:sz w:val="30"/>
          <w:szCs w:val="30"/>
        </w:rPr>
        <w:t>在生态文明体制机制及重大工程建设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方面必须坚持政府推动与社会参与紧密结合的原则。调动各级政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府和基层干部群众的积极性、创造性，将生态文明建设放到政府</w:t>
      </w:r>
    </w:p>
    <w:p>
      <w:pPr>
        <w:spacing w:line="309" w:lineRule="auto"/>
        <w:rPr>
          <w:sz w:val="30"/>
          <w:szCs w:val="30"/>
        </w:rPr>
        <w:sectPr>
          <w:headerReference r:id="rId34" w:type="default"/>
          <w:footerReference r:id="rId35" w:type="default"/>
          <w:pgSz w:w="11906" w:h="16839"/>
          <w:pgMar w:top="1191" w:right="1716" w:bottom="1152" w:left="174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310" w:lineRule="auto"/>
        <w:ind w:left="24" w:right="33" w:firstLine="8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工作的突出位置，整合各部门资源，激发市场活力，加强生</w:t>
      </w:r>
      <w:r>
        <w:rPr>
          <w:spacing w:val="-5"/>
          <w:sz w:val="30"/>
          <w:szCs w:val="30"/>
        </w:rPr>
        <w:t>态文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明宣传教育，在全社会营造人与自然和谐共生的良好风尚，引导</w:t>
      </w:r>
      <w:r>
        <w:rPr>
          <w:spacing w:val="6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全市积极投身于生态文明建设中来。</w:t>
      </w:r>
    </w:p>
    <w:p>
      <w:pPr>
        <w:pStyle w:val="2"/>
        <w:spacing w:before="43" w:line="316" w:lineRule="auto"/>
        <w:ind w:left="18" w:firstLine="638"/>
        <w:jc w:val="both"/>
        <w:rPr>
          <w:sz w:val="30"/>
          <w:szCs w:val="30"/>
        </w:rPr>
      </w:pPr>
      <w:r>
        <w:rPr>
          <w:b/>
          <w:bCs/>
          <w:spacing w:val="-6"/>
          <w:sz w:val="30"/>
          <w:szCs w:val="30"/>
        </w:rPr>
        <w:t>改革创新、多元共治。</w:t>
      </w:r>
      <w:r>
        <w:rPr>
          <w:spacing w:val="-6"/>
          <w:sz w:val="30"/>
          <w:szCs w:val="30"/>
        </w:rPr>
        <w:t>深化生态文明体制改革和机制创新，</w:t>
      </w:r>
      <w:r>
        <w:rPr>
          <w:spacing w:val="1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健全生态文明制度体系，完善生态文明建设领导责任和目标考核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体系，强化生态文明建设领导干部目标考核和责任追究。创新生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态文明宣教和培训方式，拓展生态环境宣教内容和途径，加强全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社会生态文明建设责任意识培育，形成党委、政府、企业、社会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组织和公众多元一体、全民行动的生态文明建设治理体系，提升</w:t>
      </w:r>
      <w:r>
        <w:rPr>
          <w:spacing w:val="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生态文明建设治理能力。</w:t>
      </w:r>
    </w:p>
    <w:p>
      <w:pPr>
        <w:pStyle w:val="2"/>
        <w:spacing w:before="51" w:line="314" w:lineRule="auto"/>
        <w:ind w:left="24" w:firstLine="642"/>
        <w:jc w:val="both"/>
        <w:rPr>
          <w:sz w:val="30"/>
          <w:szCs w:val="30"/>
        </w:rPr>
      </w:pPr>
      <w:r>
        <w:rPr>
          <w:b/>
          <w:bCs/>
          <w:spacing w:val="-9"/>
          <w:sz w:val="30"/>
          <w:szCs w:val="30"/>
        </w:rPr>
        <w:t>以人为本，人民至上。</w:t>
      </w:r>
      <w:r>
        <w:rPr>
          <w:spacing w:val="-9"/>
          <w:sz w:val="30"/>
          <w:szCs w:val="30"/>
        </w:rPr>
        <w:t>把“</w:t>
      </w:r>
      <w:r>
        <w:rPr>
          <w:spacing w:val="-95"/>
          <w:sz w:val="30"/>
          <w:szCs w:val="30"/>
        </w:rPr>
        <w:t xml:space="preserve"> </w:t>
      </w:r>
      <w:r>
        <w:rPr>
          <w:spacing w:val="-9"/>
          <w:sz w:val="30"/>
          <w:szCs w:val="30"/>
        </w:rPr>
        <w:t>以人为本”作为生态文明建设的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出发点和落脚点，落实共享发展理念，切实解决损害公众健康的</w:t>
      </w:r>
      <w:r>
        <w:rPr>
          <w:spacing w:val="6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突出环境问题，努力提供更多优质生态产品，打造美丽、宜居、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幸福家园，增强人民群众对生态环境提升的幸福感、获得感和安</w:t>
      </w:r>
      <w:r>
        <w:rPr>
          <w:spacing w:val="6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全感，最大限度地让人民群众共享生态文明建设成果。</w:t>
      </w:r>
    </w:p>
    <w:p>
      <w:pPr>
        <w:spacing w:before="47" w:line="223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6"/>
          <w:sz w:val="30"/>
          <w:szCs w:val="30"/>
        </w:rPr>
        <w:t>（四）目标指标</w:t>
      </w:r>
    </w:p>
    <w:p>
      <w:pPr>
        <w:spacing w:before="158" w:line="220" w:lineRule="auto"/>
        <w:ind w:left="35"/>
        <w:outlineLvl w:val="3"/>
        <w:rPr>
          <w:rFonts w:ascii="宋体" w:hAnsi="宋体" w:eastAsia="宋体" w:cs="宋体"/>
          <w:sz w:val="30"/>
          <w:szCs w:val="30"/>
        </w:rPr>
      </w:pPr>
      <w:bookmarkStart w:id="55" w:name="bookmark18"/>
      <w:bookmarkEnd w:id="55"/>
      <w:r>
        <w:rPr>
          <w:rFonts w:ascii="Calibri" w:hAnsi="Calibri" w:eastAsia="Calibri" w:cs="Calibri"/>
          <w:b/>
          <w:bCs/>
          <w:spacing w:val="-11"/>
          <w:sz w:val="30"/>
          <w:szCs w:val="30"/>
        </w:rPr>
        <w:t>1</w:t>
      </w:r>
      <w:r>
        <w:rPr>
          <w:rFonts w:ascii="Calibri" w:hAnsi="Calibri" w:eastAsia="Calibri" w:cs="Calibri"/>
          <w:b/>
          <w:bCs/>
          <w:spacing w:val="-36"/>
          <w:sz w:val="30"/>
          <w:szCs w:val="30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0"/>
          <w:szCs w:val="30"/>
        </w:rPr>
        <w:t>、总体目标</w:t>
      </w:r>
    </w:p>
    <w:p>
      <w:pPr>
        <w:pStyle w:val="2"/>
        <w:spacing w:before="169" w:line="315" w:lineRule="auto"/>
        <w:ind w:left="23" w:right="33" w:firstLine="608"/>
        <w:rPr>
          <w:sz w:val="30"/>
          <w:szCs w:val="30"/>
        </w:rPr>
      </w:pPr>
      <w:r>
        <w:rPr>
          <w:sz w:val="30"/>
          <w:szCs w:val="30"/>
        </w:rPr>
        <w:t>力争通过</w:t>
      </w:r>
      <w:r>
        <w:rPr>
          <w:spacing w:val="-3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10 </w:t>
      </w:r>
      <w:r>
        <w:rPr>
          <w:sz w:val="30"/>
          <w:szCs w:val="30"/>
        </w:rPr>
        <w:t xml:space="preserve">余年努力奋斗，生态文明建设取得重大发展， </w:t>
      </w:r>
      <w:r>
        <w:rPr>
          <w:spacing w:val="-4"/>
          <w:sz w:val="30"/>
          <w:szCs w:val="30"/>
        </w:rPr>
        <w:t>区域生态环境质量显著提升，生态涵养能力显著增强，生态文明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建设体质机制健全，旅游休闲文化产业升级及“冷极”经济结构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建设基本完成，绿水青山向金山银山转化的模式形成规模，区域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生态安全得到有效保障，基本公共服务水平大幅提高，全社会生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态文明意识显著增强，适合根河市转型的高质量发展之路基本形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成，为全国生态文明建设示范提供支撑。</w:t>
      </w:r>
    </w:p>
    <w:p>
      <w:pPr>
        <w:pStyle w:val="2"/>
        <w:spacing w:before="50" w:line="216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1</w:t>
      </w:r>
      <w:r>
        <w:rPr>
          <w:spacing w:val="-1"/>
          <w:sz w:val="30"/>
          <w:szCs w:val="30"/>
        </w:rPr>
        <w:t>）近期目标（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 xml:space="preserve">2023-2030 </w:t>
      </w:r>
      <w:r>
        <w:rPr>
          <w:spacing w:val="-1"/>
          <w:sz w:val="30"/>
          <w:szCs w:val="30"/>
        </w:rPr>
        <w:t>年）</w:t>
      </w:r>
    </w:p>
    <w:p>
      <w:pPr>
        <w:pStyle w:val="2"/>
        <w:spacing w:before="170" w:line="214" w:lineRule="auto"/>
        <w:ind w:right="33"/>
        <w:jc w:val="right"/>
        <w:rPr>
          <w:sz w:val="30"/>
          <w:szCs w:val="30"/>
        </w:rPr>
      </w:pPr>
      <w:r>
        <w:rPr>
          <w:spacing w:val="-5"/>
          <w:sz w:val="30"/>
          <w:szCs w:val="30"/>
        </w:rPr>
        <w:t>生态文明制度体系和目标责任体系健全完善，经济增长规模</w:t>
      </w:r>
    </w:p>
    <w:p>
      <w:pPr>
        <w:spacing w:line="214" w:lineRule="auto"/>
        <w:rPr>
          <w:sz w:val="30"/>
          <w:szCs w:val="30"/>
        </w:rPr>
        <w:sectPr>
          <w:headerReference r:id="rId36" w:type="default"/>
          <w:footerReference r:id="rId37" w:type="default"/>
          <w:pgSz w:w="11906" w:h="16839"/>
          <w:pgMar w:top="1191" w:right="1766" w:bottom="1152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314" w:lineRule="auto"/>
        <w:ind w:left="25" w:right="12" w:firstLine="7"/>
        <w:rPr>
          <w:sz w:val="30"/>
          <w:szCs w:val="30"/>
        </w:rPr>
      </w:pPr>
      <w:r>
        <w:rPr>
          <w:spacing w:val="-4"/>
          <w:sz w:val="30"/>
          <w:szCs w:val="30"/>
        </w:rPr>
        <w:t>和质量显著提高，国土空间开发有序有效，生态环境质量保</w:t>
      </w:r>
      <w:r>
        <w:rPr>
          <w:spacing w:val="-5"/>
          <w:sz w:val="30"/>
          <w:szCs w:val="30"/>
        </w:rPr>
        <w:t>持稳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定，城乡人居环境舒适宜居，以“冷极”文化、驯鹿文化、森工</w:t>
      </w:r>
      <w:r>
        <w:rPr>
          <w:spacing w:val="2"/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文化为品牌的生态文化魅力彰显，全社会生态文明意</w:t>
      </w:r>
      <w:r>
        <w:rPr>
          <w:spacing w:val="-7"/>
          <w:sz w:val="30"/>
          <w:szCs w:val="30"/>
        </w:rPr>
        <w:t>识普遍增强，</w:t>
      </w:r>
      <w:r>
        <w:rPr>
          <w:sz w:val="30"/>
          <w:szCs w:val="30"/>
        </w:rPr>
        <w:t xml:space="preserve"> </w:t>
      </w:r>
      <w:r>
        <w:rPr>
          <w:spacing w:val="-8"/>
          <w:sz w:val="30"/>
          <w:szCs w:val="30"/>
        </w:rPr>
        <w:t>节约、简约、低碳消费方式普遍推行，人民群众满意度明显提高，</w:t>
      </w:r>
      <w:r>
        <w:rPr>
          <w:spacing w:val="15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达到国家生态文明建设示范区（县）指标要求。</w:t>
      </w:r>
    </w:p>
    <w:p>
      <w:pPr>
        <w:pStyle w:val="2"/>
        <w:spacing w:before="51" w:line="216" w:lineRule="auto"/>
        <w:ind w:left="619"/>
        <w:outlineLvl w:val="1"/>
        <w:rPr>
          <w:sz w:val="30"/>
          <w:szCs w:val="30"/>
        </w:rPr>
      </w:pPr>
      <w:bookmarkStart w:id="56" w:name="bookmark25"/>
      <w:bookmarkEnd w:id="56"/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2</w:t>
      </w:r>
      <w:r>
        <w:rPr>
          <w:spacing w:val="-1"/>
          <w:sz w:val="30"/>
          <w:szCs w:val="30"/>
        </w:rPr>
        <w:t>）远期目标（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 xml:space="preserve">2031-2035 </w:t>
      </w:r>
      <w:r>
        <w:rPr>
          <w:spacing w:val="-1"/>
          <w:sz w:val="30"/>
          <w:szCs w:val="30"/>
        </w:rPr>
        <w:t>年）</w:t>
      </w:r>
    </w:p>
    <w:p>
      <w:pPr>
        <w:pStyle w:val="2"/>
        <w:spacing w:before="165" w:line="316" w:lineRule="auto"/>
        <w:ind w:left="25" w:firstLine="618"/>
        <w:rPr>
          <w:sz w:val="30"/>
          <w:szCs w:val="30"/>
        </w:rPr>
      </w:pPr>
      <w:r>
        <w:rPr>
          <w:spacing w:val="-5"/>
          <w:sz w:val="30"/>
          <w:szCs w:val="30"/>
        </w:rPr>
        <w:t>生态文明建设治理体系和治理能力显著提升，经济绿色低碳</w:t>
      </w:r>
      <w:r>
        <w:rPr>
          <w:spacing w:val="2"/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发展水平和可持续性进一步提高，国土开发空间更加集约高效，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生态环境质量全面改善，生态系统多样性、生态系统质量和稳定</w:t>
      </w:r>
      <w:r>
        <w:rPr>
          <w:spacing w:val="2"/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性提高，区域生态安全屏障筑牢稳固，生态文明理念深入人心，</w:t>
      </w:r>
      <w:r>
        <w:rPr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人民群众文明素质和生态环保意识持续提升，建成生态空间合理、</w:t>
      </w:r>
      <w:r>
        <w:rPr>
          <w:spacing w:val="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产业绿色低碳、资源高效利用、生态环境安全、群众满意认可的</w:t>
      </w:r>
      <w:r>
        <w:rPr>
          <w:spacing w:val="2"/>
          <w:sz w:val="30"/>
          <w:szCs w:val="30"/>
        </w:rPr>
        <w:t xml:space="preserve">  </w:t>
      </w:r>
      <w:r>
        <w:rPr>
          <w:spacing w:val="-2"/>
          <w:sz w:val="30"/>
          <w:szCs w:val="30"/>
        </w:rPr>
        <w:t>“美丽根河”。</w:t>
      </w:r>
    </w:p>
    <w:p>
      <w:pPr>
        <w:spacing w:before="47" w:line="220" w:lineRule="auto"/>
        <w:ind w:left="26"/>
        <w:outlineLvl w:val="3"/>
        <w:rPr>
          <w:rFonts w:ascii="宋体" w:hAnsi="宋体" w:eastAsia="宋体" w:cs="宋体"/>
          <w:sz w:val="30"/>
          <w:szCs w:val="30"/>
        </w:rPr>
      </w:pPr>
      <w:r>
        <w:rPr>
          <w:rFonts w:ascii="Calibri" w:hAnsi="Calibri" w:eastAsia="Calibri" w:cs="Calibri"/>
          <w:b/>
          <w:bCs/>
          <w:spacing w:val="-10"/>
          <w:sz w:val="30"/>
          <w:szCs w:val="30"/>
        </w:rPr>
        <w:t>2</w:t>
      </w:r>
      <w:r>
        <w:rPr>
          <w:rFonts w:ascii="Calibri" w:hAnsi="Calibri" w:eastAsia="Calibri" w:cs="Calibri"/>
          <w:b/>
          <w:bCs/>
          <w:spacing w:val="-34"/>
          <w:sz w:val="30"/>
          <w:szCs w:val="30"/>
        </w:rPr>
        <w:t xml:space="preserve"> </w:t>
      </w:r>
      <w:r>
        <w:rPr>
          <w:rFonts w:ascii="宋体" w:hAnsi="宋体" w:eastAsia="宋体" w:cs="宋体"/>
          <w:b/>
          <w:bCs/>
          <w:spacing w:val="-10"/>
          <w:sz w:val="30"/>
          <w:szCs w:val="30"/>
        </w:rPr>
        <w:t>、建设指标</w:t>
      </w:r>
    </w:p>
    <w:p>
      <w:pPr>
        <w:pStyle w:val="2"/>
        <w:spacing w:before="170" w:line="316" w:lineRule="auto"/>
        <w:ind w:left="18" w:right="97" w:firstLine="603"/>
        <w:jc w:val="both"/>
        <w:rPr>
          <w:sz w:val="30"/>
          <w:szCs w:val="30"/>
        </w:rPr>
      </w:pPr>
      <w:r>
        <w:rPr>
          <w:spacing w:val="-28"/>
          <w:sz w:val="30"/>
          <w:szCs w:val="30"/>
        </w:rPr>
        <w:t>根据《生态文明建设示范区（县）建设指标》（环办生态〔</w:t>
      </w:r>
      <w:r>
        <w:rPr>
          <w:rFonts w:ascii="Times New Roman" w:hAnsi="Times New Roman" w:eastAsia="Times New Roman" w:cs="Times New Roman"/>
          <w:spacing w:val="-28"/>
          <w:sz w:val="30"/>
          <w:szCs w:val="30"/>
        </w:rPr>
        <w:t>2024</w:t>
      </w:r>
      <w:r>
        <w:rPr>
          <w:spacing w:val="-28"/>
          <w:sz w:val="30"/>
          <w:szCs w:val="30"/>
        </w:rPr>
        <w:t>〕</w:t>
      </w:r>
      <w:r>
        <w:rPr>
          <w:spacing w:val="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>4</w:t>
      </w:r>
      <w:r>
        <w:rPr>
          <w:rFonts w:ascii="Times New Roman" w:hAnsi="Times New Roman" w:eastAsia="Times New Roman" w:cs="Times New Roman"/>
          <w:spacing w:val="31"/>
          <w:w w:val="101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号</w:t>
      </w:r>
      <w:r>
        <w:rPr>
          <w:spacing w:val="28"/>
          <w:sz w:val="30"/>
          <w:szCs w:val="30"/>
        </w:rPr>
        <w:t>），</w:t>
      </w:r>
      <w:r>
        <w:rPr>
          <w:spacing w:val="1"/>
          <w:sz w:val="30"/>
          <w:szCs w:val="30"/>
        </w:rPr>
        <w:t>围绕五大领域、八大任务，共设置</w:t>
      </w:r>
      <w:r>
        <w:rPr>
          <w:spacing w:val="-6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25 </w:t>
      </w:r>
      <w:r>
        <w:rPr>
          <w:spacing w:val="1"/>
          <w:sz w:val="30"/>
          <w:szCs w:val="30"/>
        </w:rPr>
        <w:t>项考核指标，其</w:t>
      </w:r>
      <w:r>
        <w:rPr>
          <w:sz w:val="30"/>
          <w:szCs w:val="30"/>
        </w:rPr>
        <w:t xml:space="preserve">  中包括</w:t>
      </w:r>
      <w:r>
        <w:rPr>
          <w:spacing w:val="-3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19 </w:t>
      </w:r>
      <w:r>
        <w:rPr>
          <w:sz w:val="30"/>
          <w:szCs w:val="30"/>
        </w:rPr>
        <w:t>项约束性指标和</w:t>
      </w:r>
      <w:r>
        <w:rPr>
          <w:spacing w:val="-6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6 </w:t>
      </w:r>
      <w:r>
        <w:rPr>
          <w:sz w:val="30"/>
          <w:szCs w:val="30"/>
        </w:rPr>
        <w:t>项参考性指标。由于根河市为</w:t>
      </w:r>
      <w:r>
        <w:rPr>
          <w:spacing w:val="-1"/>
          <w:sz w:val="30"/>
          <w:szCs w:val="30"/>
        </w:rPr>
        <w:t>纯林</w:t>
      </w:r>
      <w:r>
        <w:rPr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业城市，森林覆盖率为</w:t>
      </w:r>
      <w:r>
        <w:rPr>
          <w:spacing w:val="-5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>91.75%</w:t>
      </w:r>
      <w:r>
        <w:rPr>
          <w:rFonts w:ascii="Times New Roman" w:hAnsi="Times New Roman" w:eastAsia="Times New Roman" w:cs="Times New Roman"/>
          <w:spacing w:val="-30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，耕地面积小，不涉及密集散养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区，且没有村屯、嘎查、无农牧民，故不涉及《生态文明建设示</w:t>
      </w:r>
      <w:r>
        <w:rPr>
          <w:spacing w:val="6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范区（县）建设指标》中较大面积农村黑臭水体整治率、草原综</w:t>
      </w:r>
      <w:r>
        <w:rPr>
          <w:spacing w:val="6"/>
          <w:sz w:val="30"/>
          <w:szCs w:val="30"/>
        </w:rPr>
        <w:t xml:space="preserve">  </w:t>
      </w:r>
      <w:r>
        <w:rPr>
          <w:spacing w:val="-9"/>
          <w:sz w:val="30"/>
          <w:szCs w:val="30"/>
        </w:rPr>
        <w:t>合植被盖度、受污染耕地安全利用率、农田灌溉水有效利用系数、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农膜回收率、农村生活污水治理（管控）率、规模以下畜禽粪污</w:t>
      </w:r>
      <w:r>
        <w:rPr>
          <w:spacing w:val="6"/>
          <w:sz w:val="30"/>
          <w:szCs w:val="30"/>
        </w:rPr>
        <w:t xml:space="preserve">  </w:t>
      </w:r>
      <w:r>
        <w:rPr>
          <w:spacing w:val="5"/>
          <w:sz w:val="30"/>
          <w:szCs w:val="30"/>
        </w:rPr>
        <w:t>集中收运利用体系</w:t>
      </w:r>
      <w:r>
        <w:rPr>
          <w:rFonts w:ascii="Times New Roman" w:hAnsi="Times New Roman" w:eastAsia="Times New Roman" w:cs="Times New Roman"/>
          <w:spacing w:val="5"/>
          <w:sz w:val="30"/>
          <w:szCs w:val="30"/>
        </w:rPr>
        <w:t xml:space="preserve">7 </w:t>
      </w:r>
      <w:r>
        <w:rPr>
          <w:spacing w:val="5"/>
          <w:sz w:val="30"/>
          <w:szCs w:val="30"/>
        </w:rPr>
        <w:t>项指标。</w:t>
      </w:r>
    </w:p>
    <w:p>
      <w:pPr>
        <w:spacing w:line="316" w:lineRule="auto"/>
        <w:rPr>
          <w:sz w:val="30"/>
          <w:szCs w:val="30"/>
        </w:rPr>
        <w:sectPr>
          <w:headerReference r:id="rId38" w:type="default"/>
          <w:footerReference r:id="rId39" w:type="default"/>
          <w:pgSz w:w="11906" w:h="16839"/>
          <w:pgMar w:top="1191" w:right="1559" w:bottom="1151" w:left="1785" w:header="882" w:footer="987" w:gutter="0"/>
          <w:cols w:space="720" w:num="1"/>
        </w:sectPr>
      </w:pPr>
    </w:p>
    <w:p>
      <w:pPr>
        <w:spacing w:line="342" w:lineRule="auto"/>
        <w:rPr>
          <w:rFonts w:ascii="Arial"/>
          <w:sz w:val="21"/>
        </w:rPr>
      </w:pPr>
    </w:p>
    <w:p>
      <w:pPr>
        <w:spacing w:line="342" w:lineRule="auto"/>
        <w:rPr>
          <w:rFonts w:ascii="Arial"/>
          <w:sz w:val="21"/>
        </w:rPr>
      </w:pPr>
    </w:p>
    <w:p>
      <w:pPr>
        <w:spacing w:before="91" w:line="222" w:lineRule="auto"/>
        <w:ind w:left="4004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b/>
          <w:bCs/>
          <w:spacing w:val="-3"/>
          <w:sz w:val="28"/>
          <w:szCs w:val="28"/>
        </w:rPr>
        <w:t>表</w:t>
      </w:r>
      <w:r>
        <w:rPr>
          <w:rFonts w:ascii="黑体" w:hAnsi="黑体" w:eastAsia="黑体" w:cs="黑体"/>
          <w:spacing w:val="-5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3"/>
          <w:sz w:val="28"/>
          <w:szCs w:val="28"/>
        </w:rPr>
        <w:t xml:space="preserve">2-1  </w:t>
      </w:r>
      <w:r>
        <w:rPr>
          <w:rFonts w:ascii="黑体" w:hAnsi="黑体" w:eastAsia="黑体" w:cs="黑体"/>
          <w:b/>
          <w:bCs/>
          <w:spacing w:val="-3"/>
          <w:sz w:val="28"/>
          <w:szCs w:val="28"/>
        </w:rPr>
        <w:t>根河市国家生态文明示范区（县）建设指标</w:t>
      </w:r>
    </w:p>
    <w:p>
      <w:pPr>
        <w:spacing w:line="115" w:lineRule="exact"/>
      </w:pPr>
    </w:p>
    <w:tbl>
      <w:tblPr>
        <w:tblStyle w:val="5"/>
        <w:tblW w:w="1417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6"/>
        <w:gridCol w:w="840"/>
        <w:gridCol w:w="750"/>
        <w:gridCol w:w="3657"/>
        <w:gridCol w:w="812"/>
        <w:gridCol w:w="2530"/>
        <w:gridCol w:w="1556"/>
        <w:gridCol w:w="1213"/>
        <w:gridCol w:w="1029"/>
        <w:gridCol w:w="97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816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74"/>
            </w:pPr>
            <w:r>
              <w:rPr>
                <w:b/>
                <w:bCs/>
                <w:spacing w:val="-8"/>
              </w:rPr>
              <w:t>领域</w:t>
            </w:r>
          </w:p>
        </w:tc>
        <w:tc>
          <w:tcPr>
            <w:tcW w:w="84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3" w:line="219" w:lineRule="auto"/>
              <w:ind w:left="183"/>
            </w:pPr>
            <w:r>
              <w:rPr>
                <w:b/>
                <w:bCs/>
                <w:spacing w:val="-7"/>
              </w:rPr>
              <w:t>任务</w:t>
            </w:r>
          </w:p>
        </w:tc>
        <w:tc>
          <w:tcPr>
            <w:tcW w:w="75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1" w:lineRule="auto"/>
              <w:ind w:left="137"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3657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354"/>
            </w:pPr>
            <w:r>
              <w:rPr>
                <w:b/>
                <w:bCs/>
                <w:spacing w:val="-5"/>
              </w:rPr>
              <w:t>指标名称</w:t>
            </w:r>
          </w:p>
        </w:tc>
        <w:tc>
          <w:tcPr>
            <w:tcW w:w="812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73"/>
            </w:pPr>
            <w:r>
              <w:rPr>
                <w:b/>
                <w:bCs/>
                <w:spacing w:val="-9"/>
              </w:rPr>
              <w:t>单位</w:t>
            </w:r>
          </w:p>
        </w:tc>
        <w:tc>
          <w:tcPr>
            <w:tcW w:w="253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3" w:line="219" w:lineRule="auto"/>
              <w:ind w:left="913"/>
            </w:pPr>
            <w:r>
              <w:rPr>
                <w:b/>
                <w:bCs/>
                <w:spacing w:val="-6"/>
              </w:rPr>
              <w:t>指标值</w:t>
            </w:r>
          </w:p>
        </w:tc>
        <w:tc>
          <w:tcPr>
            <w:tcW w:w="1556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47" w:line="219" w:lineRule="auto"/>
              <w:ind w:left="426"/>
            </w:pPr>
            <w:r>
              <w:rPr>
                <w:b/>
                <w:bCs/>
                <w:spacing w:val="-6"/>
              </w:rPr>
              <w:t>现状值</w:t>
            </w:r>
          </w:p>
          <w:p>
            <w:pPr>
              <w:pStyle w:val="6"/>
              <w:spacing w:before="26" w:line="211" w:lineRule="auto"/>
              <w:ind w:left="316"/>
            </w:pPr>
            <w:r>
              <w:rPr>
                <w:b/>
                <w:bCs/>
                <w:spacing w:val="-5"/>
              </w:rPr>
              <w:t>（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5"/>
              </w:rPr>
              <w:t>2022</w:t>
            </w:r>
            <w:r>
              <w:rPr>
                <w:b/>
                <w:bCs/>
                <w:spacing w:val="-5"/>
              </w:rPr>
              <w:t>）</w:t>
            </w:r>
          </w:p>
        </w:tc>
        <w:tc>
          <w:tcPr>
            <w:tcW w:w="1213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32"/>
            </w:pPr>
            <w:r>
              <w:rPr>
                <w:b/>
                <w:bCs/>
                <w:spacing w:val="-5"/>
              </w:rPr>
              <w:t>达标情况</w:t>
            </w:r>
          </w:p>
        </w:tc>
        <w:tc>
          <w:tcPr>
            <w:tcW w:w="2004" w:type="dxa"/>
            <w:gridSpan w:val="2"/>
            <w:shd w:val="clear" w:color="auto" w:fill="F1F1F1"/>
            <w:vAlign w:val="top"/>
          </w:tcPr>
          <w:p>
            <w:pPr>
              <w:pStyle w:val="6"/>
              <w:spacing w:before="41" w:line="207" w:lineRule="auto"/>
              <w:ind w:left="692"/>
            </w:pPr>
            <w:r>
              <w:rPr>
                <w:b/>
                <w:bCs/>
                <w:spacing w:val="-21"/>
              </w:rPr>
              <w:t>目标值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81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29" w:type="dxa"/>
            <w:shd w:val="clear" w:color="auto" w:fill="F1F1F1"/>
            <w:vAlign w:val="top"/>
          </w:tcPr>
          <w:p>
            <w:pPr>
              <w:pStyle w:val="6"/>
              <w:spacing w:before="37" w:line="207" w:lineRule="auto"/>
              <w:ind w:left="129"/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</w:rPr>
              <w:t>2030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11"/>
              </w:rPr>
              <w:t xml:space="preserve"> </w:t>
            </w:r>
            <w:r>
              <w:rPr>
                <w:b/>
                <w:bCs/>
                <w:spacing w:val="-2"/>
              </w:rPr>
              <w:t>年</w:t>
            </w:r>
          </w:p>
        </w:tc>
        <w:tc>
          <w:tcPr>
            <w:tcW w:w="975" w:type="dxa"/>
            <w:shd w:val="clear" w:color="auto" w:fill="F1F1F1"/>
            <w:vAlign w:val="top"/>
          </w:tcPr>
          <w:p>
            <w:pPr>
              <w:pStyle w:val="6"/>
              <w:spacing w:before="37" w:line="207" w:lineRule="auto"/>
              <w:ind w:left="112"/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</w:rPr>
              <w:t>2035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6"/>
              </w:rPr>
              <w:t xml:space="preserve"> </w:t>
            </w:r>
            <w:r>
              <w:rPr>
                <w:b/>
                <w:bCs/>
                <w:spacing w:val="-2"/>
              </w:rPr>
              <w:t>年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16" w:type="dxa"/>
            <w:vMerge w:val="restart"/>
            <w:tcBorders>
              <w:bottom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0" w:lineRule="auto"/>
              <w:ind w:left="183" w:right="165" w:firstLine="37"/>
            </w:pPr>
            <w:r>
              <w:rPr>
                <w:spacing w:val="-28"/>
              </w:rPr>
              <w:t>目标</w:t>
            </w:r>
            <w:r>
              <w:t xml:space="preserve"> </w:t>
            </w:r>
            <w:r>
              <w:rPr>
                <w:spacing w:val="-9"/>
              </w:rPr>
              <w:t>责任</w:t>
            </w:r>
          </w:p>
        </w:tc>
        <w:tc>
          <w:tcPr>
            <w:tcW w:w="840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83" w:line="232" w:lineRule="auto"/>
              <w:ind w:right="12"/>
              <w:jc w:val="right"/>
              <w:outlineLvl w:val="1"/>
            </w:pPr>
            <w:bookmarkStart w:id="57" w:name="bookmark29"/>
            <w:bookmarkEnd w:id="57"/>
            <w:r>
              <w:rPr>
                <w:spacing w:val="-7"/>
              </w:rPr>
              <w:t>（一）</w:t>
            </w:r>
          </w:p>
          <w:p>
            <w:pPr>
              <w:pStyle w:val="6"/>
              <w:spacing w:before="12" w:line="233" w:lineRule="auto"/>
              <w:ind w:left="186" w:right="180" w:firstLine="43"/>
              <w:jc w:val="both"/>
            </w:pPr>
            <w:r>
              <w:rPr>
                <w:spacing w:val="-28"/>
              </w:rPr>
              <w:t>目标</w:t>
            </w:r>
            <w:r>
              <w:t xml:space="preserve"> </w:t>
            </w:r>
            <w:r>
              <w:rPr>
                <w:spacing w:val="-6"/>
              </w:rPr>
              <w:t>责任</w:t>
            </w:r>
            <w:r>
              <w:t xml:space="preserve"> </w:t>
            </w:r>
            <w:r>
              <w:rPr>
                <w:spacing w:val="-6"/>
              </w:rPr>
              <w:t>落实</w:t>
            </w:r>
          </w:p>
        </w:tc>
        <w:tc>
          <w:tcPr>
            <w:tcW w:w="750" w:type="dxa"/>
            <w:vAlign w:val="top"/>
          </w:tcPr>
          <w:p>
            <w:pPr>
              <w:spacing w:before="234" w:line="188" w:lineRule="auto"/>
              <w:ind w:left="33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38" w:line="223" w:lineRule="auto"/>
              <w:ind w:left="1356" w:right="147" w:hanging="1200"/>
            </w:pPr>
            <w:r>
              <w:rPr>
                <w:spacing w:val="-1"/>
              </w:rPr>
              <w:t>生态文明建设工作占党政实绩考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核的比例</w:t>
            </w:r>
          </w:p>
        </w:tc>
        <w:tc>
          <w:tcPr>
            <w:tcW w:w="812" w:type="dxa"/>
            <w:vAlign w:val="top"/>
          </w:tcPr>
          <w:p>
            <w:pPr>
              <w:spacing w:before="234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spacing w:before="234" w:line="188" w:lineRule="auto"/>
              <w:ind w:left="107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≥20</w:t>
            </w:r>
          </w:p>
        </w:tc>
        <w:tc>
          <w:tcPr>
            <w:tcW w:w="1556" w:type="dxa"/>
            <w:vAlign w:val="top"/>
          </w:tcPr>
          <w:p>
            <w:pPr>
              <w:spacing w:before="234" w:line="188" w:lineRule="auto"/>
              <w:ind w:left="66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</w:rPr>
              <w:t>32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93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before="234" w:line="188" w:lineRule="auto"/>
              <w:ind w:left="81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≥32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235" w:line="188" w:lineRule="auto"/>
              <w:ind w:left="31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38" w:line="223" w:lineRule="auto"/>
              <w:ind w:left="1354" w:right="147" w:hanging="1199"/>
            </w:pPr>
            <w:r>
              <w:rPr>
                <w:spacing w:val="-1"/>
              </w:rPr>
              <w:t>党政领导干部生态环境损害责任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追究制度</w:t>
            </w:r>
          </w:p>
        </w:tc>
        <w:tc>
          <w:tcPr>
            <w:tcW w:w="812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before="69" w:line="115" w:lineRule="exact"/>
              <w:ind w:left="37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position w:val="-2"/>
                <w:sz w:val="24"/>
                <w:szCs w:val="24"/>
              </w:rPr>
              <w:t>-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93" w:line="221" w:lineRule="auto"/>
              <w:ind w:left="1033"/>
            </w:pPr>
            <w:r>
              <w:rPr>
                <w:spacing w:val="-7"/>
              </w:rPr>
              <w:t>建立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193" w:line="221" w:lineRule="auto"/>
              <w:ind w:left="547"/>
            </w:pPr>
            <w:r>
              <w:rPr>
                <w:spacing w:val="-7"/>
              </w:rPr>
              <w:t>建立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93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93" w:line="221" w:lineRule="auto"/>
              <w:ind w:left="771"/>
            </w:pPr>
            <w:r>
              <w:rPr>
                <w:spacing w:val="-7"/>
              </w:rPr>
              <w:t>建立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81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161" w:line="188" w:lineRule="auto"/>
              <w:ind w:left="32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19" w:line="219" w:lineRule="auto"/>
              <w:ind w:left="154"/>
            </w:pPr>
            <w:r>
              <w:rPr>
                <w:spacing w:val="-1"/>
              </w:rPr>
              <w:t>领导干部自然资源资产离任审计</w:t>
            </w:r>
          </w:p>
        </w:tc>
        <w:tc>
          <w:tcPr>
            <w:tcW w:w="812" w:type="dxa"/>
            <w:vAlign w:val="top"/>
          </w:tcPr>
          <w:p>
            <w:pPr>
              <w:spacing w:before="262" w:line="115" w:lineRule="exact"/>
              <w:ind w:left="37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position w:val="-2"/>
                <w:sz w:val="24"/>
                <w:szCs w:val="24"/>
              </w:rPr>
              <w:t>-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19" w:line="221" w:lineRule="auto"/>
              <w:ind w:left="1031"/>
            </w:pPr>
            <w:r>
              <w:rPr>
                <w:spacing w:val="-6"/>
              </w:rPr>
              <w:t>开展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119" w:line="221" w:lineRule="auto"/>
              <w:ind w:left="545"/>
            </w:pPr>
            <w:r>
              <w:rPr>
                <w:spacing w:val="-6"/>
              </w:rPr>
              <w:t>开展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19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19" w:line="221" w:lineRule="auto"/>
              <w:ind w:left="769"/>
            </w:pPr>
            <w:r>
              <w:rPr>
                <w:spacing w:val="-6"/>
              </w:rPr>
              <w:t>开展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816" w:type="dxa"/>
            <w:vMerge w:val="restart"/>
            <w:tcBorders>
              <w:bottom w:val="nil"/>
            </w:tcBorders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0" w:lineRule="auto"/>
              <w:ind w:left="178" w:right="165" w:hanging="2"/>
            </w:pPr>
            <w:r>
              <w:rPr>
                <w:spacing w:val="-6"/>
              </w:rPr>
              <w:t>生态</w:t>
            </w:r>
            <w:r>
              <w:t xml:space="preserve"> </w:t>
            </w:r>
            <w:r>
              <w:rPr>
                <w:spacing w:val="-8"/>
              </w:rPr>
              <w:t>安全</w:t>
            </w:r>
          </w:p>
        </w:tc>
        <w:tc>
          <w:tcPr>
            <w:tcW w:w="840" w:type="dxa"/>
            <w:vMerge w:val="restart"/>
            <w:tcBorders>
              <w:bottom w:val="nil"/>
            </w:tcBorders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5" w:lineRule="auto"/>
              <w:ind w:left="183" w:right="32" w:hanging="60"/>
              <w:jc w:val="both"/>
            </w:pPr>
            <w:r>
              <w:rPr>
                <w:spacing w:val="-14"/>
              </w:rPr>
              <w:t>（二）</w:t>
            </w:r>
            <w:r>
              <w:t xml:space="preserve"> </w:t>
            </w:r>
            <w:r>
              <w:rPr>
                <w:spacing w:val="-5"/>
              </w:rPr>
              <w:t>环境</w:t>
            </w:r>
            <w:r>
              <w:t xml:space="preserve">  </w:t>
            </w:r>
            <w:r>
              <w:rPr>
                <w:spacing w:val="-5"/>
              </w:rPr>
              <w:t>质量</w:t>
            </w:r>
            <w:r>
              <w:t xml:space="preserve">  </w:t>
            </w:r>
            <w:r>
              <w:rPr>
                <w:spacing w:val="-5"/>
              </w:rPr>
              <w:t>改善</w:t>
            </w:r>
          </w:p>
        </w:tc>
        <w:tc>
          <w:tcPr>
            <w:tcW w:w="750" w:type="dxa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1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657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0" w:lineRule="auto"/>
              <w:ind w:left="1233"/>
            </w:pPr>
            <w:r>
              <w:rPr>
                <w:rFonts w:ascii="Times New Roman" w:hAnsi="Times New Roman" w:eastAsia="Times New Roman" w:cs="Times New Roman"/>
                <w:spacing w:val="-1"/>
              </w:rPr>
              <w:t xml:space="preserve">PM2.5 </w:t>
            </w:r>
            <w:r>
              <w:rPr>
                <w:spacing w:val="-1"/>
              </w:rPr>
              <w:t>浓度</w:t>
            </w:r>
          </w:p>
        </w:tc>
        <w:tc>
          <w:tcPr>
            <w:tcW w:w="812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</w:p>
          <w:p>
            <w:pPr>
              <w:spacing w:before="69" w:line="207" w:lineRule="auto"/>
              <w:ind w:left="125"/>
              <w:rPr>
                <w:rFonts w:ascii="Times New Roman" w:hAnsi="Times New Roman" w:eastAsia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μg/m</w:t>
            </w:r>
            <w:r>
              <w:rPr>
                <w:rFonts w:ascii="Times New Roman" w:hAnsi="Times New Roman" w:eastAsia="Times New Roman" w:cs="Times New Roman"/>
                <w:spacing w:val="-3"/>
                <w:position w:val="7"/>
                <w:sz w:val="15"/>
                <w:szCs w:val="15"/>
              </w:rPr>
              <w:t>3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51" w:line="219" w:lineRule="auto"/>
              <w:ind w:left="192"/>
            </w:pPr>
            <w:r>
              <w:rPr>
                <w:spacing w:val="-2"/>
              </w:rPr>
              <w:t>完成上级规定的考核</w:t>
            </w:r>
          </w:p>
          <w:p>
            <w:pPr>
              <w:pStyle w:val="6"/>
              <w:spacing w:before="27" w:line="219" w:lineRule="auto"/>
              <w:ind w:left="112"/>
            </w:pPr>
            <w:r>
              <w:rPr>
                <w:spacing w:val="-10"/>
              </w:rPr>
              <w:t>任务，且保持稳定或持</w:t>
            </w:r>
          </w:p>
          <w:p>
            <w:pPr>
              <w:pStyle w:val="6"/>
              <w:spacing w:before="26" w:line="215" w:lineRule="auto"/>
              <w:ind w:left="913"/>
            </w:pPr>
            <w:r>
              <w:rPr>
                <w:spacing w:val="-5"/>
              </w:rPr>
              <w:t>续下降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51" w:line="219" w:lineRule="auto"/>
              <w:ind w:left="186"/>
            </w:pPr>
            <w:r>
              <w:rPr>
                <w:spacing w:val="-3"/>
              </w:rPr>
              <w:t>无上级考核</w:t>
            </w:r>
          </w:p>
          <w:p>
            <w:pPr>
              <w:pStyle w:val="6"/>
              <w:spacing w:before="27" w:line="219" w:lineRule="auto"/>
              <w:ind w:left="183"/>
            </w:pPr>
            <w:r>
              <w:rPr>
                <w:spacing w:val="-2"/>
              </w:rPr>
              <w:t>任务；当年</w:t>
            </w:r>
          </w:p>
          <w:p>
            <w:pPr>
              <w:pStyle w:val="6"/>
              <w:spacing w:before="26" w:line="215" w:lineRule="auto"/>
              <w:ind w:left="424"/>
              <w:rPr>
                <w:rFonts w:ascii="Times New Roman" w:hAnsi="Times New Roman" w:eastAsia="Times New Roman" w:cs="Times New Roman"/>
              </w:rPr>
            </w:pPr>
            <w:r>
              <w:rPr>
                <w:spacing w:val="-3"/>
              </w:rPr>
              <w:t>值：</w:t>
            </w:r>
            <w:r>
              <w:rPr>
                <w:rFonts w:ascii="Times New Roman" w:hAnsi="Times New Roman" w:eastAsia="Times New Roman" w:cs="Times New Roman"/>
                <w:spacing w:val="-3"/>
              </w:rPr>
              <w:t>13</w:t>
            </w:r>
          </w:p>
        </w:tc>
        <w:tc>
          <w:tcPr>
            <w:tcW w:w="1213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206" w:line="230" w:lineRule="auto"/>
              <w:ind w:left="775" w:right="159" w:hanging="606"/>
            </w:pPr>
            <w:r>
              <w:rPr>
                <w:spacing w:val="-2"/>
              </w:rPr>
              <w:t>保持稳定或持续</w:t>
            </w:r>
            <w:r>
              <w:rPr>
                <w:spacing w:val="2"/>
              </w:rPr>
              <w:t xml:space="preserve"> </w:t>
            </w:r>
            <w:r>
              <w:rPr>
                <w:spacing w:val="-9"/>
              </w:rPr>
              <w:t>下降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restart"/>
            <w:tcBorders>
              <w:bottom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before="69" w:line="185" w:lineRule="auto"/>
              <w:ind w:left="3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19" w:line="219" w:lineRule="auto"/>
              <w:ind w:left="1234"/>
            </w:pPr>
            <w:r>
              <w:rPr>
                <w:b/>
                <w:bCs/>
                <w:spacing w:val="-5"/>
              </w:rPr>
              <w:t>水环境质量</w:t>
            </w:r>
          </w:p>
        </w:tc>
        <w:tc>
          <w:tcPr>
            <w:tcW w:w="81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0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59"/>
            </w:pPr>
            <w:r>
              <w:rPr>
                <w:spacing w:val="-1"/>
              </w:rPr>
              <w:t>地表水达到或好于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Ⅲ</w:t>
            </w:r>
            <w:r>
              <w:rPr>
                <w:spacing w:val="-1"/>
              </w:rPr>
              <w:t>类水体比例</w:t>
            </w:r>
          </w:p>
        </w:tc>
        <w:tc>
          <w:tcPr>
            <w:tcW w:w="812" w:type="dxa"/>
            <w:vMerge w:val="restart"/>
            <w:tcBorders>
              <w:bottom w:val="nil"/>
            </w:tcBorders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41" w:line="219" w:lineRule="auto"/>
              <w:ind w:left="192"/>
            </w:pPr>
            <w:r>
              <w:rPr>
                <w:spacing w:val="-2"/>
              </w:rPr>
              <w:t>完成上级规定的考核</w:t>
            </w:r>
          </w:p>
          <w:p>
            <w:pPr>
              <w:pStyle w:val="6"/>
              <w:spacing w:before="27" w:line="219" w:lineRule="auto"/>
              <w:ind w:left="112"/>
            </w:pPr>
            <w:r>
              <w:rPr>
                <w:spacing w:val="-10"/>
              </w:rPr>
              <w:t>任务，且保持稳定或持</w:t>
            </w:r>
          </w:p>
          <w:p>
            <w:pPr>
              <w:pStyle w:val="6"/>
              <w:spacing w:before="26" w:line="204" w:lineRule="auto"/>
              <w:ind w:left="913"/>
            </w:pPr>
            <w:r>
              <w:rPr>
                <w:spacing w:val="-5"/>
              </w:rPr>
              <w:t>续提高</w:t>
            </w:r>
          </w:p>
        </w:tc>
        <w:tc>
          <w:tcPr>
            <w:tcW w:w="1556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6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213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84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3" w:line="219" w:lineRule="auto"/>
              <w:ind w:left="995"/>
            </w:pPr>
            <w:r>
              <w:rPr>
                <w:spacing w:val="-2"/>
              </w:rPr>
              <w:t>县城污水处理率</w:t>
            </w:r>
          </w:p>
        </w:tc>
        <w:tc>
          <w:tcPr>
            <w:tcW w:w="81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Align w:val="top"/>
          </w:tcPr>
          <w:p>
            <w:pPr>
              <w:spacing w:before="165" w:line="188" w:lineRule="auto"/>
              <w:ind w:left="107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≥95</w:t>
            </w:r>
          </w:p>
        </w:tc>
        <w:tc>
          <w:tcPr>
            <w:tcW w:w="1556" w:type="dxa"/>
            <w:vAlign w:val="top"/>
          </w:tcPr>
          <w:p>
            <w:pPr>
              <w:spacing w:before="165" w:line="188" w:lineRule="auto"/>
              <w:ind w:left="51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97.21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3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before="165" w:line="188" w:lineRule="auto"/>
              <w:ind w:left="66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≥97.21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5" w:line="219" w:lineRule="auto"/>
              <w:ind w:left="155"/>
            </w:pPr>
            <w:r>
              <w:rPr>
                <w:spacing w:val="-1"/>
              </w:rPr>
              <w:t>县级城市建成区黑臭水体消除率</w:t>
            </w:r>
          </w:p>
        </w:tc>
        <w:tc>
          <w:tcPr>
            <w:tcW w:w="81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Align w:val="top"/>
          </w:tcPr>
          <w:p>
            <w:pPr>
              <w:spacing w:before="166" w:line="188" w:lineRule="auto"/>
              <w:ind w:left="11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556" w:type="dxa"/>
            <w:vAlign w:val="top"/>
          </w:tcPr>
          <w:p>
            <w:pPr>
              <w:spacing w:before="166" w:line="188" w:lineRule="auto"/>
              <w:ind w:left="6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4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before="166" w:line="188" w:lineRule="auto"/>
              <w:ind w:left="84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2" w:line="219" w:lineRule="auto"/>
              <w:ind w:left="214"/>
              <w:rPr>
                <w:rFonts w:ascii="Times New Roman" w:hAnsi="Times New Roman" w:eastAsia="Times New Roman" w:cs="Times New Roman"/>
              </w:rPr>
            </w:pPr>
            <w:r>
              <w:rPr>
                <w:spacing w:val="-1"/>
              </w:rPr>
              <w:t>较大面积农村黑臭水体整治率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*</w:t>
            </w:r>
          </w:p>
        </w:tc>
        <w:tc>
          <w:tcPr>
            <w:tcW w:w="81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Align w:val="top"/>
          </w:tcPr>
          <w:p>
            <w:pPr>
              <w:spacing w:before="165" w:line="188" w:lineRule="auto"/>
              <w:ind w:left="11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123" w:line="221" w:lineRule="auto"/>
              <w:ind w:left="428"/>
            </w:pPr>
            <w:r>
              <w:rPr>
                <w:spacing w:val="-5"/>
              </w:rPr>
              <w:t>不涉及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3" w:line="221" w:lineRule="auto"/>
              <w:ind w:left="260"/>
            </w:pPr>
            <w:r>
              <w:rPr>
                <w:spacing w:val="-5"/>
              </w:rPr>
              <w:t>不涉及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23" w:line="221" w:lineRule="auto"/>
              <w:ind w:left="652"/>
            </w:pPr>
            <w:r>
              <w:rPr>
                <w:spacing w:val="-5"/>
              </w:rPr>
              <w:t>不涉及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54" w:line="232" w:lineRule="auto"/>
              <w:ind w:left="184" w:right="32" w:hanging="61"/>
              <w:jc w:val="both"/>
            </w:pPr>
            <w:r>
              <w:rPr>
                <w:spacing w:val="-14"/>
              </w:rPr>
              <w:t>（三）</w:t>
            </w:r>
            <w:r>
              <w:t xml:space="preserve"> </w:t>
            </w:r>
            <w:r>
              <w:rPr>
                <w:spacing w:val="-6"/>
              </w:rPr>
              <w:t>生态</w:t>
            </w:r>
            <w:r>
              <w:t xml:space="preserve">  </w:t>
            </w:r>
            <w:r>
              <w:rPr>
                <w:spacing w:val="-6"/>
              </w:rPr>
              <w:t>质量</w:t>
            </w:r>
          </w:p>
        </w:tc>
        <w:tc>
          <w:tcPr>
            <w:tcW w:w="750" w:type="dxa"/>
            <w:vMerge w:val="restart"/>
            <w:tcBorders>
              <w:bottom w:val="nil"/>
            </w:tcBorders>
            <w:vAlign w:val="top"/>
          </w:tcPr>
          <w:p>
            <w:pPr>
              <w:spacing w:line="337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2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5" w:line="219" w:lineRule="auto"/>
              <w:ind w:left="887"/>
            </w:pPr>
            <w:r>
              <w:rPr>
                <w:b/>
                <w:bCs/>
                <w:spacing w:val="-6"/>
              </w:rPr>
              <w:t>区域生态保护监管</w:t>
            </w:r>
          </w:p>
        </w:tc>
        <w:tc>
          <w:tcPr>
            <w:tcW w:w="81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0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81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3" w:line="212" w:lineRule="auto"/>
              <w:ind w:left="677"/>
            </w:pPr>
            <w:r>
              <w:rPr>
                <w:spacing w:val="-2"/>
              </w:rPr>
              <w:t>生态质量指数（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EQI</w:t>
            </w:r>
            <w:r>
              <w:rPr>
                <w:spacing w:val="-2"/>
              </w:rPr>
              <w:t>）</w:t>
            </w:r>
          </w:p>
        </w:tc>
        <w:tc>
          <w:tcPr>
            <w:tcW w:w="81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Align w:val="top"/>
          </w:tcPr>
          <w:p>
            <w:pPr>
              <w:pStyle w:val="6"/>
              <w:spacing w:before="123" w:line="212" w:lineRule="auto"/>
              <w:ind w:left="790"/>
              <w:rPr>
                <w:rFonts w:ascii="Times New Roman" w:hAnsi="Times New Roman" w:eastAsia="Times New Roman" w:cs="Times New Roman"/>
              </w:rPr>
            </w:pPr>
            <w:r>
              <w:rPr>
                <w:spacing w:val="-3"/>
              </w:rPr>
              <w:t>△</w:t>
            </w:r>
            <w:r>
              <w:rPr>
                <w:rFonts w:ascii="Times New Roman" w:hAnsi="Times New Roman" w:eastAsia="Times New Roman" w:cs="Times New Roman"/>
                <w:spacing w:val="-3"/>
              </w:rPr>
              <w:t>EQI&gt;-1</w:t>
            </w:r>
          </w:p>
        </w:tc>
        <w:tc>
          <w:tcPr>
            <w:tcW w:w="1556" w:type="dxa"/>
            <w:vAlign w:val="top"/>
          </w:tcPr>
          <w:p>
            <w:pPr>
              <w:spacing w:before="165" w:line="188" w:lineRule="auto"/>
              <w:ind w:left="724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3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23" w:line="212" w:lineRule="auto"/>
              <w:ind w:left="531"/>
              <w:rPr>
                <w:rFonts w:ascii="Times New Roman" w:hAnsi="Times New Roman" w:eastAsia="Times New Roman" w:cs="Times New Roman"/>
              </w:rPr>
            </w:pPr>
            <w:r>
              <w:rPr>
                <w:spacing w:val="-3"/>
              </w:rPr>
              <w:t>△</w:t>
            </w:r>
            <w:r>
              <w:rPr>
                <w:rFonts w:ascii="Times New Roman" w:hAnsi="Times New Roman" w:eastAsia="Times New Roman" w:cs="Times New Roman"/>
                <w:spacing w:val="-3"/>
              </w:rPr>
              <w:t>EQI≥-1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headerReference r:id="rId40" w:type="default"/>
          <w:footerReference r:id="rId41" w:type="default"/>
          <w:pgSz w:w="16839" w:h="11906"/>
          <w:pgMar w:top="1191" w:right="1327" w:bottom="1151" w:left="1327" w:header="882" w:footer="987" w:gutter="0"/>
          <w:cols w:space="720" w:num="1"/>
        </w:sectPr>
      </w:pPr>
    </w:p>
    <w:p>
      <w:pPr>
        <w:spacing w:before="63"/>
      </w:pPr>
    </w:p>
    <w:p>
      <w:pPr>
        <w:spacing w:before="62"/>
      </w:pPr>
    </w:p>
    <w:tbl>
      <w:tblPr>
        <w:tblStyle w:val="5"/>
        <w:tblW w:w="1417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6"/>
        <w:gridCol w:w="840"/>
        <w:gridCol w:w="750"/>
        <w:gridCol w:w="3657"/>
        <w:gridCol w:w="812"/>
        <w:gridCol w:w="2530"/>
        <w:gridCol w:w="1556"/>
        <w:gridCol w:w="1213"/>
        <w:gridCol w:w="1029"/>
        <w:gridCol w:w="97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816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74"/>
            </w:pPr>
            <w:r>
              <w:rPr>
                <w:b/>
                <w:bCs/>
                <w:spacing w:val="-8"/>
              </w:rPr>
              <w:t>领域</w:t>
            </w:r>
          </w:p>
        </w:tc>
        <w:tc>
          <w:tcPr>
            <w:tcW w:w="84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3" w:line="219" w:lineRule="auto"/>
              <w:ind w:left="183"/>
            </w:pPr>
            <w:r>
              <w:rPr>
                <w:b/>
                <w:bCs/>
                <w:spacing w:val="-7"/>
              </w:rPr>
              <w:t>任务</w:t>
            </w:r>
          </w:p>
        </w:tc>
        <w:tc>
          <w:tcPr>
            <w:tcW w:w="75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1" w:lineRule="auto"/>
              <w:ind w:left="137"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3657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354"/>
            </w:pPr>
            <w:r>
              <w:rPr>
                <w:b/>
                <w:bCs/>
                <w:spacing w:val="-5"/>
              </w:rPr>
              <w:t>指标名称</w:t>
            </w:r>
          </w:p>
        </w:tc>
        <w:tc>
          <w:tcPr>
            <w:tcW w:w="812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73"/>
            </w:pPr>
            <w:r>
              <w:rPr>
                <w:b/>
                <w:bCs/>
                <w:spacing w:val="-9"/>
              </w:rPr>
              <w:t>单位</w:t>
            </w:r>
          </w:p>
        </w:tc>
        <w:tc>
          <w:tcPr>
            <w:tcW w:w="253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3" w:line="219" w:lineRule="auto"/>
              <w:ind w:left="913"/>
            </w:pPr>
            <w:r>
              <w:rPr>
                <w:b/>
                <w:bCs/>
                <w:spacing w:val="-6"/>
              </w:rPr>
              <w:t>指标值</w:t>
            </w:r>
          </w:p>
        </w:tc>
        <w:tc>
          <w:tcPr>
            <w:tcW w:w="1556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47" w:line="219" w:lineRule="auto"/>
              <w:ind w:left="426"/>
            </w:pPr>
            <w:r>
              <w:rPr>
                <w:b/>
                <w:bCs/>
                <w:spacing w:val="-6"/>
              </w:rPr>
              <w:t>现状值</w:t>
            </w:r>
          </w:p>
          <w:p>
            <w:pPr>
              <w:pStyle w:val="6"/>
              <w:spacing w:before="26" w:line="211" w:lineRule="auto"/>
              <w:ind w:left="316"/>
            </w:pPr>
            <w:r>
              <w:rPr>
                <w:b/>
                <w:bCs/>
                <w:spacing w:val="-5"/>
              </w:rPr>
              <w:t>（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5"/>
              </w:rPr>
              <w:t>2022</w:t>
            </w:r>
            <w:r>
              <w:rPr>
                <w:b/>
                <w:bCs/>
                <w:spacing w:val="-5"/>
              </w:rPr>
              <w:t>）</w:t>
            </w:r>
          </w:p>
        </w:tc>
        <w:tc>
          <w:tcPr>
            <w:tcW w:w="1213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32"/>
            </w:pPr>
            <w:r>
              <w:rPr>
                <w:b/>
                <w:bCs/>
                <w:spacing w:val="-5"/>
              </w:rPr>
              <w:t>达标情况</w:t>
            </w:r>
          </w:p>
        </w:tc>
        <w:tc>
          <w:tcPr>
            <w:tcW w:w="2004" w:type="dxa"/>
            <w:gridSpan w:val="2"/>
            <w:shd w:val="clear" w:color="auto" w:fill="F1F1F1"/>
            <w:vAlign w:val="top"/>
          </w:tcPr>
          <w:p>
            <w:pPr>
              <w:pStyle w:val="6"/>
              <w:spacing w:before="41" w:line="207" w:lineRule="auto"/>
              <w:ind w:left="692"/>
            </w:pPr>
            <w:r>
              <w:rPr>
                <w:b/>
                <w:bCs/>
                <w:spacing w:val="-21"/>
              </w:rPr>
              <w:t>目标值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81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29" w:type="dxa"/>
            <w:shd w:val="clear" w:color="auto" w:fill="F1F1F1"/>
            <w:vAlign w:val="top"/>
          </w:tcPr>
          <w:p>
            <w:pPr>
              <w:pStyle w:val="6"/>
              <w:spacing w:before="37" w:line="207" w:lineRule="auto"/>
              <w:ind w:left="129"/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</w:rPr>
              <w:t>2030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11"/>
              </w:rPr>
              <w:t xml:space="preserve"> </w:t>
            </w:r>
            <w:r>
              <w:rPr>
                <w:b/>
                <w:bCs/>
                <w:spacing w:val="-2"/>
              </w:rPr>
              <w:t>年</w:t>
            </w:r>
          </w:p>
        </w:tc>
        <w:tc>
          <w:tcPr>
            <w:tcW w:w="975" w:type="dxa"/>
            <w:shd w:val="clear" w:color="auto" w:fill="F1F1F1"/>
            <w:vAlign w:val="top"/>
          </w:tcPr>
          <w:p>
            <w:pPr>
              <w:pStyle w:val="6"/>
              <w:spacing w:before="37" w:line="207" w:lineRule="auto"/>
              <w:ind w:left="112"/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</w:rPr>
              <w:t>2035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6"/>
              </w:rPr>
              <w:t xml:space="preserve"> </w:t>
            </w:r>
            <w:r>
              <w:rPr>
                <w:b/>
                <w:bCs/>
                <w:spacing w:val="-2"/>
              </w:rPr>
              <w:t>年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16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37" w:line="220" w:lineRule="auto"/>
              <w:ind w:left="185"/>
            </w:pPr>
            <w:r>
              <w:rPr>
                <w:spacing w:val="-6"/>
              </w:rPr>
              <w:t>提升</w:t>
            </w:r>
          </w:p>
        </w:tc>
        <w:tc>
          <w:tcPr>
            <w:tcW w:w="750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Align w:val="top"/>
          </w:tcPr>
          <w:p>
            <w:pPr>
              <w:pStyle w:val="6"/>
              <w:spacing w:before="38" w:line="223" w:lineRule="auto"/>
              <w:ind w:left="753" w:right="147" w:hanging="560"/>
            </w:pPr>
            <w:r>
              <w:rPr>
                <w:spacing w:val="-4"/>
              </w:rPr>
              <w:t>自然保护地和生态保护红线生态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环境重点问题整改率</w:t>
            </w:r>
          </w:p>
        </w:tc>
        <w:tc>
          <w:tcPr>
            <w:tcW w:w="812" w:type="dxa"/>
            <w:vAlign w:val="top"/>
          </w:tcPr>
          <w:p>
            <w:pPr>
              <w:spacing w:before="234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spacing w:before="234" w:line="188" w:lineRule="auto"/>
              <w:ind w:left="11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556" w:type="dxa"/>
            <w:vAlign w:val="top"/>
          </w:tcPr>
          <w:p>
            <w:pPr>
              <w:spacing w:before="234" w:line="188" w:lineRule="auto"/>
              <w:ind w:left="6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93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before="234" w:line="188" w:lineRule="auto"/>
              <w:ind w:left="84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2" w:line="219" w:lineRule="auto"/>
              <w:ind w:left="996"/>
            </w:pPr>
            <w:r>
              <w:rPr>
                <w:spacing w:val="-2"/>
              </w:rPr>
              <w:t>生物多样性调查</w:t>
            </w:r>
          </w:p>
        </w:tc>
        <w:tc>
          <w:tcPr>
            <w:tcW w:w="812" w:type="dxa"/>
            <w:vAlign w:val="top"/>
          </w:tcPr>
          <w:p>
            <w:pPr>
              <w:spacing w:before="264" w:line="115" w:lineRule="exact"/>
              <w:ind w:left="37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position w:val="-2"/>
                <w:sz w:val="24"/>
                <w:szCs w:val="24"/>
              </w:rPr>
              <w:t>-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21" w:line="221" w:lineRule="auto"/>
              <w:ind w:left="1031"/>
            </w:pPr>
            <w:r>
              <w:rPr>
                <w:spacing w:val="-6"/>
              </w:rPr>
              <w:t>开展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121" w:line="221" w:lineRule="auto"/>
              <w:ind w:left="545"/>
            </w:pPr>
            <w:r>
              <w:rPr>
                <w:spacing w:val="-6"/>
              </w:rPr>
              <w:t>开展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1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21" w:line="221" w:lineRule="auto"/>
              <w:ind w:left="769"/>
            </w:pPr>
            <w:r>
              <w:rPr>
                <w:spacing w:val="-6"/>
              </w:rPr>
              <w:t>开展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restart"/>
            <w:tcBorders>
              <w:bottom w:val="nil"/>
            </w:tcBorders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spacing w:before="69" w:line="185" w:lineRule="auto"/>
              <w:ind w:left="3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1" w:line="219" w:lineRule="auto"/>
              <w:ind w:left="871"/>
            </w:pPr>
            <w:r>
              <w:rPr>
                <w:b/>
                <w:bCs/>
                <w:spacing w:val="-4"/>
              </w:rPr>
              <w:t>生态系统保护修复</w:t>
            </w:r>
          </w:p>
        </w:tc>
        <w:tc>
          <w:tcPr>
            <w:tcW w:w="81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0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Align w:val="top"/>
          </w:tcPr>
          <w:p>
            <w:pPr>
              <w:pStyle w:val="6"/>
              <w:spacing w:before="195" w:line="219" w:lineRule="auto"/>
              <w:ind w:left="1174"/>
              <w:rPr>
                <w:rFonts w:ascii="Times New Roman" w:hAnsi="Times New Roman" w:eastAsia="Times New Roman" w:cs="Times New Roman"/>
              </w:rPr>
            </w:pPr>
            <w:r>
              <w:rPr>
                <w:spacing w:val="-2"/>
              </w:rPr>
              <w:t>森林覆盖率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*</w:t>
            </w:r>
          </w:p>
        </w:tc>
        <w:tc>
          <w:tcPr>
            <w:tcW w:w="812" w:type="dxa"/>
            <w:vMerge w:val="restart"/>
            <w:tcBorders>
              <w:bottom w:val="nil"/>
            </w:tcBorders>
            <w:vAlign w:val="top"/>
          </w:tcPr>
          <w:p>
            <w:pPr>
              <w:spacing w:line="409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95" w:line="219" w:lineRule="auto"/>
              <w:ind w:left="191"/>
            </w:pPr>
            <w:r>
              <w:rPr>
                <w:spacing w:val="-2"/>
              </w:rPr>
              <w:t>保持稳定或持续改善</w:t>
            </w:r>
          </w:p>
        </w:tc>
        <w:tc>
          <w:tcPr>
            <w:tcW w:w="1556" w:type="dxa"/>
            <w:vAlign w:val="top"/>
          </w:tcPr>
          <w:p>
            <w:pPr>
              <w:spacing w:before="236" w:line="188" w:lineRule="auto"/>
              <w:ind w:left="51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91.75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94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38" w:line="223" w:lineRule="auto"/>
              <w:ind w:left="776" w:right="159" w:hanging="607"/>
            </w:pPr>
            <w:r>
              <w:rPr>
                <w:spacing w:val="-2"/>
              </w:rPr>
              <w:t>保持稳定或持续</w:t>
            </w:r>
            <w:r>
              <w:rPr>
                <w:spacing w:val="2"/>
              </w:rPr>
              <w:t xml:space="preserve"> </w:t>
            </w:r>
            <w:r>
              <w:rPr>
                <w:spacing w:val="-9"/>
              </w:rPr>
              <w:t>改善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3" w:line="219" w:lineRule="auto"/>
              <w:ind w:left="816"/>
              <w:rPr>
                <w:rFonts w:ascii="Times New Roman" w:hAnsi="Times New Roman" w:eastAsia="Times New Roman" w:cs="Times New Roman"/>
              </w:rPr>
            </w:pPr>
            <w:r>
              <w:rPr>
                <w:spacing w:val="-2"/>
              </w:rPr>
              <w:t>草原综合植被盖度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*</w:t>
            </w:r>
          </w:p>
        </w:tc>
        <w:tc>
          <w:tcPr>
            <w:tcW w:w="81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Align w:val="top"/>
          </w:tcPr>
          <w:p>
            <w:pPr>
              <w:pStyle w:val="6"/>
              <w:spacing w:before="123" w:line="219" w:lineRule="auto"/>
              <w:ind w:left="191"/>
            </w:pPr>
            <w:r>
              <w:rPr>
                <w:spacing w:val="-2"/>
              </w:rPr>
              <w:t>保持稳定或持续改善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122" w:line="221" w:lineRule="auto"/>
              <w:ind w:left="428"/>
            </w:pPr>
            <w:r>
              <w:rPr>
                <w:spacing w:val="-5"/>
              </w:rPr>
              <w:t>不涉及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2" w:line="221" w:lineRule="auto"/>
              <w:ind w:left="260"/>
            </w:pPr>
            <w:r>
              <w:rPr>
                <w:spacing w:val="-5"/>
              </w:rPr>
              <w:t>不涉及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22" w:line="221" w:lineRule="auto"/>
              <w:ind w:left="652"/>
            </w:pPr>
            <w:r>
              <w:rPr>
                <w:spacing w:val="-5"/>
              </w:rPr>
              <w:t>不涉及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27" w:line="236" w:lineRule="auto"/>
              <w:ind w:left="183" w:right="32" w:hanging="60"/>
              <w:jc w:val="both"/>
            </w:pPr>
            <w:r>
              <w:rPr>
                <w:spacing w:val="-14"/>
              </w:rPr>
              <w:t>（四）</w:t>
            </w:r>
            <w:r>
              <w:t xml:space="preserve"> </w:t>
            </w:r>
            <w:r>
              <w:rPr>
                <w:spacing w:val="-5"/>
              </w:rPr>
              <w:t>生态</w:t>
            </w:r>
            <w:r>
              <w:t xml:space="preserve">  </w:t>
            </w:r>
            <w:r>
              <w:rPr>
                <w:spacing w:val="-5"/>
              </w:rPr>
              <w:t>环境</w:t>
            </w:r>
            <w:r>
              <w:t xml:space="preserve">  </w:t>
            </w:r>
            <w:r>
              <w:rPr>
                <w:spacing w:val="-5"/>
              </w:rPr>
              <w:t>风险</w:t>
            </w:r>
            <w:r>
              <w:t xml:space="preserve">  </w:t>
            </w:r>
            <w:r>
              <w:rPr>
                <w:spacing w:val="-5"/>
              </w:rPr>
              <w:t>防范</w:t>
            </w:r>
          </w:p>
        </w:tc>
        <w:tc>
          <w:tcPr>
            <w:tcW w:w="750" w:type="dxa"/>
            <w:vAlign w:val="top"/>
          </w:tcPr>
          <w:p>
            <w:pPr>
              <w:spacing w:before="163" w:line="188" w:lineRule="auto"/>
              <w:ind w:left="32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1" w:line="219" w:lineRule="auto"/>
              <w:ind w:left="579"/>
              <w:rPr>
                <w:rFonts w:ascii="Times New Roman" w:hAnsi="Times New Roman" w:eastAsia="Times New Roman" w:cs="Times New Roman"/>
              </w:rPr>
            </w:pPr>
            <w:r>
              <w:rPr>
                <w:spacing w:val="-2"/>
              </w:rPr>
              <w:t>受污染耕地安全利用率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*</w:t>
            </w:r>
          </w:p>
        </w:tc>
        <w:tc>
          <w:tcPr>
            <w:tcW w:w="812" w:type="dxa"/>
            <w:vAlign w:val="top"/>
          </w:tcPr>
          <w:p>
            <w:pPr>
              <w:spacing w:before="163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spacing w:before="163" w:line="188" w:lineRule="auto"/>
              <w:ind w:left="107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≥93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121" w:line="221" w:lineRule="auto"/>
              <w:ind w:left="428"/>
            </w:pPr>
            <w:r>
              <w:rPr>
                <w:spacing w:val="-5"/>
              </w:rPr>
              <w:t>不涉及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1" w:line="221" w:lineRule="auto"/>
              <w:ind w:left="260"/>
            </w:pPr>
            <w:r>
              <w:rPr>
                <w:spacing w:val="-5"/>
              </w:rPr>
              <w:t>不涉及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21" w:line="221" w:lineRule="auto"/>
              <w:ind w:left="652"/>
            </w:pPr>
            <w:r>
              <w:rPr>
                <w:spacing w:val="-5"/>
              </w:rPr>
              <w:t>不涉及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164" w:line="188" w:lineRule="auto"/>
              <w:ind w:left="32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2" w:line="221" w:lineRule="auto"/>
              <w:ind w:left="635"/>
            </w:pPr>
            <w:r>
              <w:rPr>
                <w:spacing w:val="-2"/>
              </w:rPr>
              <w:t>重点建设用地安全利用</w:t>
            </w:r>
          </w:p>
        </w:tc>
        <w:tc>
          <w:tcPr>
            <w:tcW w:w="812" w:type="dxa"/>
            <w:vAlign w:val="top"/>
          </w:tcPr>
          <w:p>
            <w:pPr>
              <w:spacing w:before="265" w:line="116" w:lineRule="exact"/>
              <w:ind w:left="37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position w:val="-2"/>
                <w:sz w:val="24"/>
                <w:szCs w:val="24"/>
              </w:rPr>
              <w:t>-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23" w:line="219" w:lineRule="auto"/>
              <w:ind w:left="791"/>
            </w:pPr>
            <w:r>
              <w:rPr>
                <w:spacing w:val="-3"/>
              </w:rPr>
              <w:t>有效保障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123" w:line="219" w:lineRule="auto"/>
              <w:ind w:left="305"/>
            </w:pPr>
            <w:r>
              <w:rPr>
                <w:spacing w:val="-3"/>
              </w:rPr>
              <w:t>有效保障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3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23" w:line="219" w:lineRule="auto"/>
              <w:ind w:left="529"/>
            </w:pPr>
            <w:r>
              <w:rPr>
                <w:spacing w:val="-3"/>
              </w:rPr>
              <w:t>有效保障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163" w:line="188" w:lineRule="auto"/>
              <w:ind w:left="27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10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2" w:line="219" w:lineRule="auto"/>
              <w:ind w:left="879"/>
            </w:pPr>
            <w:r>
              <w:rPr>
                <w:spacing w:val="-2"/>
              </w:rPr>
              <w:t>外来物种入侵防控</w:t>
            </w:r>
          </w:p>
        </w:tc>
        <w:tc>
          <w:tcPr>
            <w:tcW w:w="812" w:type="dxa"/>
            <w:vAlign w:val="top"/>
          </w:tcPr>
          <w:p>
            <w:pPr>
              <w:spacing w:before="264" w:line="115" w:lineRule="exact"/>
              <w:ind w:left="37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position w:val="-2"/>
                <w:sz w:val="24"/>
                <w:szCs w:val="24"/>
              </w:rPr>
              <w:t>-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22" w:line="220" w:lineRule="auto"/>
              <w:ind w:left="791"/>
            </w:pPr>
            <w:r>
              <w:rPr>
                <w:spacing w:val="-3"/>
              </w:rPr>
              <w:t>有效开展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122" w:line="220" w:lineRule="auto"/>
              <w:ind w:left="305"/>
            </w:pPr>
            <w:r>
              <w:rPr>
                <w:spacing w:val="-3"/>
              </w:rPr>
              <w:t>有效开展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2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22" w:line="220" w:lineRule="auto"/>
              <w:ind w:left="529"/>
            </w:pPr>
            <w:r>
              <w:rPr>
                <w:spacing w:val="-3"/>
              </w:rPr>
              <w:t>有效开展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165" w:line="188" w:lineRule="auto"/>
              <w:ind w:left="27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11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2" w:line="219" w:lineRule="auto"/>
              <w:ind w:left="402"/>
            </w:pPr>
            <w:r>
              <w:rPr>
                <w:spacing w:val="-2"/>
              </w:rPr>
              <w:t>突发环境事件应急管理机制</w:t>
            </w:r>
          </w:p>
        </w:tc>
        <w:tc>
          <w:tcPr>
            <w:tcW w:w="812" w:type="dxa"/>
            <w:vAlign w:val="top"/>
          </w:tcPr>
          <w:p>
            <w:pPr>
              <w:spacing w:before="265" w:line="116" w:lineRule="exact"/>
              <w:ind w:left="37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position w:val="-2"/>
                <w:sz w:val="24"/>
                <w:szCs w:val="24"/>
              </w:rPr>
              <w:t>-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22" w:line="221" w:lineRule="auto"/>
              <w:ind w:left="1033"/>
            </w:pPr>
            <w:r>
              <w:rPr>
                <w:spacing w:val="-7"/>
              </w:rPr>
              <w:t>建立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122" w:line="221" w:lineRule="auto"/>
              <w:ind w:left="547"/>
            </w:pPr>
            <w:r>
              <w:rPr>
                <w:spacing w:val="-7"/>
              </w:rPr>
              <w:t>建立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3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22" w:line="221" w:lineRule="auto"/>
              <w:ind w:left="771"/>
            </w:pPr>
            <w:r>
              <w:rPr>
                <w:spacing w:val="-7"/>
              </w:rPr>
              <w:t>建立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atLeast"/>
        </w:trPr>
        <w:tc>
          <w:tcPr>
            <w:tcW w:w="816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0" w:lineRule="auto"/>
              <w:ind w:left="176" w:right="165"/>
            </w:pPr>
            <w:r>
              <w:rPr>
                <w:spacing w:val="-6"/>
              </w:rPr>
              <w:t>生态</w:t>
            </w:r>
            <w:r>
              <w:t xml:space="preserve"> </w:t>
            </w:r>
            <w:r>
              <w:rPr>
                <w:spacing w:val="-6"/>
              </w:rPr>
              <w:t>经济</w:t>
            </w:r>
          </w:p>
        </w:tc>
        <w:tc>
          <w:tcPr>
            <w:tcW w:w="840" w:type="dxa"/>
            <w:vAlign w:val="top"/>
          </w:tcPr>
          <w:p>
            <w:pPr>
              <w:pStyle w:val="6"/>
              <w:spacing w:before="39" w:line="233" w:lineRule="auto"/>
              <w:ind w:left="183" w:right="32" w:hanging="60"/>
              <w:jc w:val="both"/>
            </w:pPr>
            <w:r>
              <w:rPr>
                <w:spacing w:val="-14"/>
              </w:rPr>
              <w:t>（五）</w:t>
            </w:r>
            <w:r>
              <w:t xml:space="preserve"> </w:t>
            </w:r>
            <w:r>
              <w:rPr>
                <w:spacing w:val="-5"/>
              </w:rPr>
              <w:t>节能</w:t>
            </w:r>
            <w:r>
              <w:t xml:space="preserve">  </w:t>
            </w:r>
            <w:r>
              <w:rPr>
                <w:spacing w:val="-5"/>
              </w:rPr>
              <w:t>减排</w:t>
            </w:r>
            <w:r>
              <w:t xml:space="preserve">  </w:t>
            </w:r>
            <w:r>
              <w:rPr>
                <w:spacing w:val="-5"/>
              </w:rPr>
              <w:t>降碳</w:t>
            </w:r>
            <w:r>
              <w:t xml:space="preserve">  </w:t>
            </w:r>
            <w:r>
              <w:rPr>
                <w:spacing w:val="-5"/>
              </w:rPr>
              <w:t>增效</w:t>
            </w:r>
          </w:p>
        </w:tc>
        <w:tc>
          <w:tcPr>
            <w:tcW w:w="750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27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12</w:t>
            </w:r>
          </w:p>
        </w:tc>
        <w:tc>
          <w:tcPr>
            <w:tcW w:w="3657" w:type="dxa"/>
            <w:vAlign w:val="top"/>
          </w:tcPr>
          <w:p>
            <w:pPr>
              <w:spacing w:line="42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0" w:lineRule="auto"/>
              <w:ind w:left="755" w:right="147" w:hanging="600"/>
            </w:pPr>
            <w:r>
              <w:rPr>
                <w:spacing w:val="-1"/>
              </w:rPr>
              <w:t>新增和更新公共汽电车中新能源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和清洁能源车辆比例</w:t>
            </w:r>
          </w:p>
        </w:tc>
        <w:tc>
          <w:tcPr>
            <w:tcW w:w="812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107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≥80</w:t>
            </w:r>
          </w:p>
        </w:tc>
        <w:tc>
          <w:tcPr>
            <w:tcW w:w="1556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0" w:lineRule="auto"/>
              <w:ind w:left="186"/>
            </w:pPr>
            <w:r>
              <w:rPr>
                <w:spacing w:val="-3"/>
              </w:rPr>
              <w:t>无新增和更</w:t>
            </w:r>
          </w:p>
          <w:p>
            <w:pPr>
              <w:pStyle w:val="6"/>
              <w:spacing w:before="26" w:line="219" w:lineRule="auto"/>
              <w:ind w:left="185"/>
            </w:pPr>
            <w:r>
              <w:rPr>
                <w:spacing w:val="-3"/>
              </w:rPr>
              <w:t>新公共汽电</w:t>
            </w:r>
          </w:p>
          <w:p>
            <w:pPr>
              <w:pStyle w:val="6"/>
              <w:spacing w:before="27" w:line="219" w:lineRule="auto"/>
              <w:ind w:left="666"/>
            </w:pPr>
            <w:r>
              <w:t>车</w:t>
            </w:r>
          </w:p>
        </w:tc>
        <w:tc>
          <w:tcPr>
            <w:tcW w:w="1213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81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≥80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5" w:hRule="atLeast"/>
        </w:trPr>
        <w:tc>
          <w:tcPr>
            <w:tcW w:w="81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Align w:val="top"/>
          </w:tcPr>
          <w:p>
            <w:pPr>
              <w:pStyle w:val="6"/>
              <w:spacing w:before="38" w:line="232" w:lineRule="auto"/>
              <w:ind w:left="183" w:right="32" w:hanging="60"/>
              <w:jc w:val="both"/>
            </w:pPr>
            <w:r>
              <w:rPr>
                <w:spacing w:val="-14"/>
              </w:rPr>
              <w:t>（六）</w:t>
            </w:r>
            <w:r>
              <w:t xml:space="preserve"> </w:t>
            </w:r>
            <w:r>
              <w:rPr>
                <w:spacing w:val="-5"/>
              </w:rPr>
              <w:t>资源</w:t>
            </w:r>
            <w:r>
              <w:t xml:space="preserve">  </w:t>
            </w:r>
            <w:r>
              <w:rPr>
                <w:spacing w:val="-5"/>
              </w:rPr>
              <w:t>节约</w:t>
            </w:r>
            <w:r>
              <w:t xml:space="preserve">  </w:t>
            </w:r>
            <w:r>
              <w:rPr>
                <w:spacing w:val="-5"/>
              </w:rPr>
              <w:t>集约</w:t>
            </w:r>
          </w:p>
        </w:tc>
        <w:tc>
          <w:tcPr>
            <w:tcW w:w="750" w:type="dxa"/>
            <w:vAlign w:val="top"/>
          </w:tcPr>
          <w:p>
            <w:pPr>
              <w:spacing w:line="478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27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13</w:t>
            </w:r>
          </w:p>
        </w:tc>
        <w:tc>
          <w:tcPr>
            <w:tcW w:w="3657" w:type="dxa"/>
            <w:vAlign w:val="top"/>
          </w:tcPr>
          <w:p>
            <w:pPr>
              <w:spacing w:line="42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280"/>
            </w:pPr>
            <w:r>
              <w:rPr>
                <w:spacing w:val="-2"/>
              </w:rPr>
              <w:t>万元工业增加值用水量下降率</w:t>
            </w:r>
          </w:p>
        </w:tc>
        <w:tc>
          <w:tcPr>
            <w:tcW w:w="812" w:type="dxa"/>
            <w:vAlign w:val="top"/>
          </w:tcPr>
          <w:p>
            <w:pPr>
              <w:spacing w:line="478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0" w:lineRule="auto"/>
              <w:ind w:left="1029" w:right="184" w:hanging="837"/>
            </w:pPr>
            <w:r>
              <w:rPr>
                <w:spacing w:val="-2"/>
              </w:rPr>
              <w:t>完成上级规定的考核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任务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40" w:line="230" w:lineRule="auto"/>
              <w:ind w:left="115" w:right="103" w:firstLine="71"/>
            </w:pPr>
            <w:r>
              <w:rPr>
                <w:spacing w:val="-3"/>
              </w:rPr>
              <w:t>上级规定的</w:t>
            </w:r>
            <w:r>
              <w:rPr>
                <w:spacing w:val="2"/>
              </w:rPr>
              <w:t xml:space="preserve"> </w:t>
            </w:r>
            <w:r>
              <w:rPr>
                <w:spacing w:val="-18"/>
              </w:rPr>
              <w:t>考核任务：较</w:t>
            </w:r>
          </w:p>
          <w:p>
            <w:pPr>
              <w:pStyle w:val="6"/>
              <w:spacing w:before="27" w:line="223" w:lineRule="auto"/>
              <w:ind w:left="265" w:right="144" w:hanging="114"/>
            </w:pPr>
            <w:r>
              <w:rPr>
                <w:rFonts w:ascii="Times New Roman" w:hAnsi="Times New Roman" w:eastAsia="Times New Roman" w:cs="Times New Roman"/>
                <w:spacing w:val="-1"/>
              </w:rPr>
              <w:t xml:space="preserve">2020 </w:t>
            </w:r>
            <w:r>
              <w:rPr>
                <w:spacing w:val="-1"/>
              </w:rPr>
              <w:t>年下降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率</w:t>
            </w:r>
            <w:r>
              <w:rPr>
                <w:spacing w:val="-4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7.6%</w:t>
            </w:r>
            <w:r>
              <w:rPr>
                <w:spacing w:val="-4"/>
              </w:rPr>
              <w:t>；</w:t>
            </w:r>
          </w:p>
        </w:tc>
        <w:tc>
          <w:tcPr>
            <w:tcW w:w="1213" w:type="dxa"/>
            <w:vAlign w:val="top"/>
          </w:tcPr>
          <w:p>
            <w:pPr>
              <w:spacing w:line="42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0" w:lineRule="auto"/>
              <w:ind w:left="260"/>
            </w:pPr>
            <w:r>
              <w:rPr>
                <w:spacing w:val="-5"/>
              </w:rPr>
              <w:t>不达标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0" w:lineRule="auto"/>
              <w:ind w:left="528" w:right="159" w:hanging="358"/>
            </w:pPr>
            <w:r>
              <w:rPr>
                <w:spacing w:val="-2"/>
              </w:rPr>
              <w:t>完成上级规定的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考核任务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42" w:type="default"/>
          <w:pgSz w:w="16839" w:h="11906"/>
          <w:pgMar w:top="1191" w:right="1327" w:bottom="1152" w:left="1327" w:header="882" w:footer="987" w:gutter="0"/>
          <w:cols w:space="720" w:num="1"/>
        </w:sectPr>
      </w:pPr>
    </w:p>
    <w:p>
      <w:pPr>
        <w:spacing w:before="63"/>
      </w:pPr>
    </w:p>
    <w:p>
      <w:pPr>
        <w:spacing w:before="62"/>
      </w:pPr>
    </w:p>
    <w:tbl>
      <w:tblPr>
        <w:tblStyle w:val="5"/>
        <w:tblW w:w="1417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6"/>
        <w:gridCol w:w="840"/>
        <w:gridCol w:w="750"/>
        <w:gridCol w:w="3657"/>
        <w:gridCol w:w="812"/>
        <w:gridCol w:w="2530"/>
        <w:gridCol w:w="1556"/>
        <w:gridCol w:w="1213"/>
        <w:gridCol w:w="1029"/>
        <w:gridCol w:w="97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816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74"/>
            </w:pPr>
            <w:r>
              <w:rPr>
                <w:b/>
                <w:bCs/>
                <w:spacing w:val="-8"/>
              </w:rPr>
              <w:t>领域</w:t>
            </w:r>
          </w:p>
        </w:tc>
        <w:tc>
          <w:tcPr>
            <w:tcW w:w="84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3" w:line="219" w:lineRule="auto"/>
              <w:ind w:left="183"/>
            </w:pPr>
            <w:r>
              <w:rPr>
                <w:b/>
                <w:bCs/>
                <w:spacing w:val="-7"/>
              </w:rPr>
              <w:t>任务</w:t>
            </w:r>
          </w:p>
        </w:tc>
        <w:tc>
          <w:tcPr>
            <w:tcW w:w="75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1" w:lineRule="auto"/>
              <w:ind w:left="137"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3657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354"/>
            </w:pPr>
            <w:r>
              <w:rPr>
                <w:b/>
                <w:bCs/>
                <w:spacing w:val="-5"/>
              </w:rPr>
              <w:t>指标名称</w:t>
            </w:r>
          </w:p>
        </w:tc>
        <w:tc>
          <w:tcPr>
            <w:tcW w:w="812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73"/>
            </w:pPr>
            <w:r>
              <w:rPr>
                <w:b/>
                <w:bCs/>
                <w:spacing w:val="-9"/>
              </w:rPr>
              <w:t>单位</w:t>
            </w:r>
          </w:p>
        </w:tc>
        <w:tc>
          <w:tcPr>
            <w:tcW w:w="253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3" w:line="219" w:lineRule="auto"/>
              <w:ind w:left="913"/>
            </w:pPr>
            <w:r>
              <w:rPr>
                <w:b/>
                <w:bCs/>
                <w:spacing w:val="-6"/>
              </w:rPr>
              <w:t>指标值</w:t>
            </w:r>
          </w:p>
        </w:tc>
        <w:tc>
          <w:tcPr>
            <w:tcW w:w="1556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47" w:line="219" w:lineRule="auto"/>
              <w:ind w:left="426"/>
            </w:pPr>
            <w:r>
              <w:rPr>
                <w:b/>
                <w:bCs/>
                <w:spacing w:val="-6"/>
              </w:rPr>
              <w:t>现状值</w:t>
            </w:r>
          </w:p>
          <w:p>
            <w:pPr>
              <w:pStyle w:val="6"/>
              <w:spacing w:before="26" w:line="212" w:lineRule="auto"/>
              <w:ind w:left="316"/>
            </w:pPr>
            <w:r>
              <w:rPr>
                <w:b/>
                <w:bCs/>
                <w:spacing w:val="-5"/>
              </w:rPr>
              <w:t>（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5"/>
              </w:rPr>
              <w:t>2022</w:t>
            </w:r>
            <w:r>
              <w:rPr>
                <w:b/>
                <w:bCs/>
                <w:spacing w:val="-5"/>
              </w:rPr>
              <w:t>）</w:t>
            </w:r>
          </w:p>
        </w:tc>
        <w:tc>
          <w:tcPr>
            <w:tcW w:w="1213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32"/>
            </w:pPr>
            <w:r>
              <w:rPr>
                <w:b/>
                <w:bCs/>
                <w:spacing w:val="-5"/>
              </w:rPr>
              <w:t>达标情况</w:t>
            </w:r>
          </w:p>
        </w:tc>
        <w:tc>
          <w:tcPr>
            <w:tcW w:w="2004" w:type="dxa"/>
            <w:gridSpan w:val="2"/>
            <w:shd w:val="clear" w:color="auto" w:fill="F1F1F1"/>
            <w:vAlign w:val="top"/>
          </w:tcPr>
          <w:p>
            <w:pPr>
              <w:pStyle w:val="6"/>
              <w:spacing w:before="41" w:line="208" w:lineRule="auto"/>
              <w:ind w:left="692"/>
            </w:pPr>
            <w:r>
              <w:rPr>
                <w:b/>
                <w:bCs/>
                <w:spacing w:val="-21"/>
              </w:rPr>
              <w:t>目标值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81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29" w:type="dxa"/>
            <w:shd w:val="clear" w:color="auto" w:fill="F1F1F1"/>
            <w:vAlign w:val="top"/>
          </w:tcPr>
          <w:p>
            <w:pPr>
              <w:pStyle w:val="6"/>
              <w:spacing w:before="36" w:line="208" w:lineRule="auto"/>
              <w:ind w:left="129"/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</w:rPr>
              <w:t>2030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11"/>
              </w:rPr>
              <w:t xml:space="preserve"> </w:t>
            </w:r>
            <w:r>
              <w:rPr>
                <w:b/>
                <w:bCs/>
                <w:spacing w:val="-2"/>
              </w:rPr>
              <w:t>年</w:t>
            </w:r>
          </w:p>
        </w:tc>
        <w:tc>
          <w:tcPr>
            <w:tcW w:w="975" w:type="dxa"/>
            <w:shd w:val="clear" w:color="auto" w:fill="F1F1F1"/>
            <w:vAlign w:val="top"/>
          </w:tcPr>
          <w:p>
            <w:pPr>
              <w:pStyle w:val="6"/>
              <w:spacing w:before="36" w:line="208" w:lineRule="auto"/>
              <w:ind w:left="112"/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</w:rPr>
              <w:t>2035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6"/>
              </w:rPr>
              <w:t xml:space="preserve"> </w:t>
            </w:r>
            <w:r>
              <w:rPr>
                <w:b/>
                <w:bCs/>
                <w:spacing w:val="-2"/>
              </w:rPr>
              <w:t>年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</w:trPr>
        <w:tc>
          <w:tcPr>
            <w:tcW w:w="816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pStyle w:val="6"/>
              <w:spacing w:before="35" w:line="246" w:lineRule="auto"/>
              <w:ind w:left="374" w:right="65" w:hanging="244"/>
              <w:rPr>
                <w:rFonts w:ascii="Times New Roman" w:hAnsi="Times New Roman" w:eastAsia="Times New Roman" w:cs="Times New Roman"/>
              </w:rPr>
            </w:pPr>
            <w:r>
              <w:rPr>
                <w:spacing w:val="-15"/>
              </w:rPr>
              <w:t>当年指标值：</w:t>
            </w:r>
            <w:r>
              <w:rPr>
                <w:spacing w:val="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-36.80%</w:t>
            </w:r>
          </w:p>
        </w:tc>
        <w:tc>
          <w:tcPr>
            <w:tcW w:w="121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0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234" w:line="188" w:lineRule="auto"/>
              <w:ind w:left="27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14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93" w:line="219" w:lineRule="auto"/>
              <w:ind w:left="454"/>
              <w:rPr>
                <w:rFonts w:ascii="Times New Roman" w:hAnsi="Times New Roman" w:eastAsia="Times New Roman" w:cs="Times New Roman"/>
              </w:rPr>
            </w:pPr>
            <w:r>
              <w:rPr>
                <w:spacing w:val="-1"/>
              </w:rPr>
              <w:t>农田灌溉水有效利用系数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*</w:t>
            </w:r>
          </w:p>
        </w:tc>
        <w:tc>
          <w:tcPr>
            <w:tcW w:w="812" w:type="dxa"/>
            <w:vAlign w:val="top"/>
          </w:tcPr>
          <w:p>
            <w:pPr>
              <w:spacing w:before="234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35" w:line="224" w:lineRule="auto"/>
              <w:ind w:left="1029" w:right="184" w:hanging="837"/>
            </w:pPr>
            <w:r>
              <w:rPr>
                <w:spacing w:val="-2"/>
              </w:rPr>
              <w:t>完成上级规定的考核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任务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192" w:line="221" w:lineRule="auto"/>
              <w:ind w:left="428"/>
            </w:pPr>
            <w:r>
              <w:rPr>
                <w:spacing w:val="-5"/>
              </w:rPr>
              <w:t>不涉及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92" w:line="221" w:lineRule="auto"/>
              <w:ind w:left="260"/>
            </w:pPr>
            <w:r>
              <w:rPr>
                <w:spacing w:val="-5"/>
              </w:rPr>
              <w:t>不涉及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92" w:line="221" w:lineRule="auto"/>
              <w:ind w:left="652"/>
            </w:pPr>
            <w:r>
              <w:rPr>
                <w:spacing w:val="-5"/>
              </w:rPr>
              <w:t>不涉及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162" w:line="188" w:lineRule="auto"/>
              <w:ind w:left="27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15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1" w:line="219" w:lineRule="auto"/>
              <w:ind w:left="1174"/>
              <w:rPr>
                <w:rFonts w:ascii="Times New Roman" w:hAnsi="Times New Roman" w:eastAsia="Times New Roman" w:cs="Times New Roman"/>
              </w:rPr>
            </w:pPr>
            <w:r>
              <w:rPr>
                <w:spacing w:val="-2"/>
              </w:rPr>
              <w:t>农膜回收率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*</w:t>
            </w:r>
          </w:p>
        </w:tc>
        <w:tc>
          <w:tcPr>
            <w:tcW w:w="812" w:type="dxa"/>
            <w:vAlign w:val="top"/>
          </w:tcPr>
          <w:p>
            <w:pPr>
              <w:spacing w:before="162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spacing w:before="162" w:line="188" w:lineRule="auto"/>
              <w:ind w:left="107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≥85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120" w:line="221" w:lineRule="auto"/>
              <w:ind w:left="428"/>
            </w:pPr>
            <w:r>
              <w:rPr>
                <w:spacing w:val="-5"/>
              </w:rPr>
              <w:t>不涉及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0" w:line="221" w:lineRule="auto"/>
              <w:ind w:left="260"/>
            </w:pPr>
            <w:r>
              <w:rPr>
                <w:spacing w:val="-5"/>
              </w:rPr>
              <w:t>不涉及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20" w:line="221" w:lineRule="auto"/>
              <w:ind w:left="652"/>
            </w:pPr>
            <w:r>
              <w:rPr>
                <w:spacing w:val="-5"/>
              </w:rPr>
              <w:t>不涉及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1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236" w:line="188" w:lineRule="auto"/>
              <w:ind w:left="27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16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94" w:line="219" w:lineRule="auto"/>
              <w:ind w:left="278"/>
            </w:pPr>
            <w:r>
              <w:rPr>
                <w:spacing w:val="-2"/>
              </w:rPr>
              <w:t>一般工业固体废物综合利用率</w:t>
            </w:r>
          </w:p>
        </w:tc>
        <w:tc>
          <w:tcPr>
            <w:tcW w:w="812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before="69" w:line="115" w:lineRule="exact"/>
              <w:ind w:left="37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position w:val="-2"/>
                <w:sz w:val="24"/>
                <w:szCs w:val="24"/>
              </w:rPr>
              <w:t>-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94" w:line="219" w:lineRule="auto"/>
              <w:ind w:left="191"/>
            </w:pPr>
            <w:r>
              <w:rPr>
                <w:spacing w:val="-2"/>
              </w:rPr>
              <w:t>保持稳定或持续改善</w:t>
            </w:r>
          </w:p>
        </w:tc>
        <w:tc>
          <w:tcPr>
            <w:tcW w:w="1556" w:type="dxa"/>
            <w:vAlign w:val="top"/>
          </w:tcPr>
          <w:p>
            <w:pPr>
              <w:spacing w:before="236" w:line="188" w:lineRule="auto"/>
              <w:ind w:left="51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97.57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94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38" w:line="223" w:lineRule="auto"/>
              <w:ind w:left="776" w:right="159" w:hanging="607"/>
            </w:pPr>
            <w:r>
              <w:rPr>
                <w:spacing w:val="-2"/>
              </w:rPr>
              <w:t>保持稳定或持续</w:t>
            </w:r>
            <w:r>
              <w:rPr>
                <w:spacing w:val="2"/>
              </w:rPr>
              <w:t xml:space="preserve"> </w:t>
            </w:r>
            <w:r>
              <w:rPr>
                <w:spacing w:val="-9"/>
              </w:rPr>
              <w:t>改善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816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0" w:lineRule="auto"/>
              <w:ind w:left="176" w:right="165"/>
            </w:pPr>
            <w:r>
              <w:rPr>
                <w:spacing w:val="-6"/>
              </w:rPr>
              <w:t>生态</w:t>
            </w:r>
            <w:r>
              <w:t xml:space="preserve"> </w:t>
            </w:r>
            <w:r>
              <w:rPr>
                <w:spacing w:val="-6"/>
              </w:rPr>
              <w:t>文化</w:t>
            </w:r>
          </w:p>
        </w:tc>
        <w:tc>
          <w:tcPr>
            <w:tcW w:w="840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40" w:line="231" w:lineRule="auto"/>
              <w:ind w:left="182" w:right="32" w:hanging="59"/>
              <w:jc w:val="both"/>
            </w:pPr>
            <w:r>
              <w:rPr>
                <w:spacing w:val="-14"/>
              </w:rPr>
              <w:t>（七）</w:t>
            </w:r>
            <w:r>
              <w:t xml:space="preserve"> </w:t>
            </w:r>
            <w:r>
              <w:rPr>
                <w:spacing w:val="-5"/>
              </w:rPr>
              <w:t>全民</w:t>
            </w:r>
            <w:r>
              <w:t xml:space="preserve">  </w:t>
            </w:r>
            <w:r>
              <w:rPr>
                <w:spacing w:val="-5"/>
              </w:rPr>
              <w:t>共建</w:t>
            </w:r>
            <w:r>
              <w:t xml:space="preserve">  </w:t>
            </w:r>
            <w:r>
              <w:rPr>
                <w:spacing w:val="-5"/>
              </w:rPr>
              <w:t>共享</w:t>
            </w:r>
          </w:p>
        </w:tc>
        <w:tc>
          <w:tcPr>
            <w:tcW w:w="750" w:type="dxa"/>
            <w:vAlign w:val="top"/>
          </w:tcPr>
          <w:p>
            <w:pPr>
              <w:spacing w:before="162" w:line="188" w:lineRule="auto"/>
              <w:ind w:left="27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17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1" w:line="219" w:lineRule="auto"/>
              <w:ind w:left="281"/>
            </w:pPr>
            <w:r>
              <w:rPr>
                <w:spacing w:val="-2"/>
              </w:rPr>
              <w:t>公众对生态环境质量满意程度</w:t>
            </w:r>
          </w:p>
        </w:tc>
        <w:tc>
          <w:tcPr>
            <w:tcW w:w="812" w:type="dxa"/>
            <w:vAlign w:val="top"/>
          </w:tcPr>
          <w:p>
            <w:pPr>
              <w:spacing w:before="162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spacing w:before="162" w:line="188" w:lineRule="auto"/>
              <w:ind w:left="107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≥90</w:t>
            </w:r>
          </w:p>
        </w:tc>
        <w:tc>
          <w:tcPr>
            <w:tcW w:w="1556" w:type="dxa"/>
            <w:vAlign w:val="top"/>
          </w:tcPr>
          <w:p>
            <w:pPr>
              <w:spacing w:before="162" w:line="188" w:lineRule="auto"/>
              <w:ind w:left="51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90.97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0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before="162" w:line="188" w:lineRule="auto"/>
              <w:ind w:left="88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</w:rPr>
              <w:t>95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6" w:hRule="atLeast"/>
        </w:trPr>
        <w:tc>
          <w:tcPr>
            <w:tcW w:w="81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307" w:line="188" w:lineRule="auto"/>
              <w:ind w:left="27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18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266" w:line="219" w:lineRule="auto"/>
              <w:ind w:left="634"/>
            </w:pPr>
            <w:r>
              <w:rPr>
                <w:spacing w:val="-1"/>
              </w:rPr>
              <w:t>城镇新建绿色建筑比例</w:t>
            </w:r>
          </w:p>
        </w:tc>
        <w:tc>
          <w:tcPr>
            <w:tcW w:w="812" w:type="dxa"/>
            <w:vAlign w:val="top"/>
          </w:tcPr>
          <w:p>
            <w:pPr>
              <w:spacing w:before="307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spacing w:before="307" w:line="188" w:lineRule="auto"/>
              <w:ind w:left="11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556" w:type="dxa"/>
            <w:vAlign w:val="top"/>
          </w:tcPr>
          <w:p>
            <w:pPr>
              <w:spacing w:before="307" w:line="188" w:lineRule="auto"/>
              <w:ind w:left="6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265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before="307" w:line="188" w:lineRule="auto"/>
              <w:ind w:left="84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816" w:type="dxa"/>
            <w:vAlign w:val="top"/>
          </w:tcPr>
          <w:p>
            <w:pPr>
              <w:pStyle w:val="6"/>
              <w:spacing w:before="197" w:line="233" w:lineRule="auto"/>
              <w:ind w:left="175" w:right="165"/>
              <w:jc w:val="both"/>
            </w:pPr>
            <w:r>
              <w:rPr>
                <w:spacing w:val="-6"/>
              </w:rPr>
              <w:t>生态</w:t>
            </w:r>
            <w:r>
              <w:t xml:space="preserve"> </w:t>
            </w:r>
            <w:r>
              <w:rPr>
                <w:spacing w:val="-6"/>
              </w:rPr>
              <w:t>文明</w:t>
            </w:r>
            <w:r>
              <w:t xml:space="preserve"> </w:t>
            </w:r>
            <w:r>
              <w:rPr>
                <w:spacing w:val="-6"/>
              </w:rPr>
              <w:t>制度</w:t>
            </w:r>
          </w:p>
        </w:tc>
        <w:tc>
          <w:tcPr>
            <w:tcW w:w="840" w:type="dxa"/>
            <w:vAlign w:val="top"/>
          </w:tcPr>
          <w:p>
            <w:pPr>
              <w:pStyle w:val="6"/>
              <w:spacing w:before="40" w:line="231" w:lineRule="auto"/>
              <w:ind w:left="182" w:right="32" w:hanging="59"/>
              <w:jc w:val="both"/>
            </w:pPr>
            <w:r>
              <w:rPr>
                <w:spacing w:val="-14"/>
              </w:rPr>
              <w:t>（八）</w:t>
            </w:r>
            <w:r>
              <w:t xml:space="preserve"> </w:t>
            </w:r>
            <w:r>
              <w:rPr>
                <w:spacing w:val="-5"/>
              </w:rPr>
              <w:t>机制</w:t>
            </w:r>
            <w:r>
              <w:t xml:space="preserve">  </w:t>
            </w:r>
            <w:r>
              <w:rPr>
                <w:spacing w:val="-5"/>
              </w:rPr>
              <w:t>体制</w:t>
            </w:r>
            <w:r>
              <w:t xml:space="preserve">  </w:t>
            </w:r>
            <w:r>
              <w:rPr>
                <w:spacing w:val="-5"/>
              </w:rPr>
              <w:t>保障</w:t>
            </w:r>
          </w:p>
        </w:tc>
        <w:tc>
          <w:tcPr>
            <w:tcW w:w="750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27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19</w:t>
            </w:r>
          </w:p>
        </w:tc>
        <w:tc>
          <w:tcPr>
            <w:tcW w:w="3657" w:type="dxa"/>
            <w:vAlign w:val="top"/>
          </w:tcPr>
          <w:p>
            <w:pPr>
              <w:spacing w:line="42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756"/>
            </w:pPr>
            <w:r>
              <w:rPr>
                <w:spacing w:val="-2"/>
              </w:rPr>
              <w:t>生态环境信息公开率</w:t>
            </w:r>
          </w:p>
        </w:tc>
        <w:tc>
          <w:tcPr>
            <w:tcW w:w="812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11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556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6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213" w:type="dxa"/>
            <w:vAlign w:val="top"/>
          </w:tcPr>
          <w:p>
            <w:pPr>
              <w:spacing w:line="42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84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656" w:type="dxa"/>
            <w:gridSpan w:val="2"/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236"/>
            </w:pPr>
            <w:r>
              <w:rPr>
                <w:spacing w:val="-3"/>
              </w:rPr>
              <w:t>参考性指标</w:t>
            </w:r>
          </w:p>
        </w:tc>
        <w:tc>
          <w:tcPr>
            <w:tcW w:w="750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3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657" w:type="dxa"/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274"/>
            </w:pPr>
            <w:r>
              <w:t>农村生活污水治理（管控）率</w:t>
            </w:r>
          </w:p>
        </w:tc>
        <w:tc>
          <w:tcPr>
            <w:tcW w:w="812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43" w:line="229" w:lineRule="auto"/>
              <w:ind w:left="119" w:right="81" w:firstLine="92"/>
            </w:pPr>
            <w:r>
              <w:rPr>
                <w:spacing w:val="-4"/>
              </w:rPr>
              <w:t>中西部地级及以上城</w:t>
            </w:r>
            <w:r>
              <w:rPr>
                <w:spacing w:val="1"/>
              </w:rPr>
              <w:t xml:space="preserve">  </w:t>
            </w:r>
            <w:r>
              <w:rPr>
                <w:spacing w:val="-8"/>
              </w:rPr>
              <w:t>市市辖区、东部地区：</w:t>
            </w:r>
          </w:p>
          <w:p>
            <w:pPr>
              <w:pStyle w:val="6"/>
              <w:spacing w:before="28" w:line="221" w:lineRule="auto"/>
              <w:ind w:left="958"/>
            </w:pPr>
            <w:r>
              <w:rPr>
                <w:rFonts w:ascii="Times New Roman" w:hAnsi="Times New Roman" w:eastAsia="Times New Roman" w:cs="Times New Roman"/>
                <w:spacing w:val="-2"/>
              </w:rPr>
              <w:t>≥60</w:t>
            </w:r>
            <w:r>
              <w:rPr>
                <w:spacing w:val="-2"/>
              </w:rPr>
              <w:t>；</w:t>
            </w:r>
          </w:p>
          <w:p>
            <w:pPr>
              <w:pStyle w:val="6"/>
              <w:spacing w:before="25" w:line="222" w:lineRule="auto"/>
              <w:ind w:left="724" w:right="105" w:hanging="589"/>
              <w:rPr>
                <w:rFonts w:ascii="Times New Roman" w:hAnsi="Times New Roman" w:eastAsia="Times New Roman" w:cs="Times New Roman"/>
              </w:rPr>
            </w:pPr>
            <w:r>
              <w:rPr>
                <w:spacing w:val="-12"/>
              </w:rPr>
              <w:t>中西部其他地区、东北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地区：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≥30</w:t>
            </w:r>
          </w:p>
        </w:tc>
        <w:tc>
          <w:tcPr>
            <w:tcW w:w="1556" w:type="dxa"/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86"/>
            </w:pPr>
            <w:r>
              <w:rPr>
                <w:spacing w:val="-3"/>
              </w:rPr>
              <w:t>无农村地区</w:t>
            </w:r>
          </w:p>
        </w:tc>
        <w:tc>
          <w:tcPr>
            <w:tcW w:w="1213" w:type="dxa"/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1" w:lineRule="auto"/>
              <w:ind w:left="260"/>
            </w:pPr>
            <w:r>
              <w:rPr>
                <w:spacing w:val="-5"/>
              </w:rPr>
              <w:t>不涉及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1" w:lineRule="auto"/>
              <w:ind w:left="652"/>
            </w:pPr>
            <w:r>
              <w:rPr>
                <w:spacing w:val="-5"/>
              </w:rPr>
              <w:t>不涉及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43" w:type="default"/>
          <w:pgSz w:w="16839" w:h="11906"/>
          <w:pgMar w:top="1191" w:right="1327" w:bottom="1151" w:left="1327" w:header="882" w:footer="987" w:gutter="0"/>
          <w:cols w:space="720" w:num="1"/>
        </w:sectPr>
      </w:pPr>
    </w:p>
    <w:p>
      <w:pPr>
        <w:spacing w:before="63"/>
      </w:pPr>
    </w:p>
    <w:p>
      <w:pPr>
        <w:spacing w:before="62"/>
      </w:pPr>
    </w:p>
    <w:tbl>
      <w:tblPr>
        <w:tblStyle w:val="5"/>
        <w:tblW w:w="1417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6"/>
        <w:gridCol w:w="840"/>
        <w:gridCol w:w="750"/>
        <w:gridCol w:w="3657"/>
        <w:gridCol w:w="812"/>
        <w:gridCol w:w="2530"/>
        <w:gridCol w:w="1556"/>
        <w:gridCol w:w="1213"/>
        <w:gridCol w:w="1029"/>
        <w:gridCol w:w="97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816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74"/>
            </w:pPr>
            <w:r>
              <w:rPr>
                <w:b/>
                <w:bCs/>
                <w:spacing w:val="-8"/>
              </w:rPr>
              <w:t>领域</w:t>
            </w:r>
          </w:p>
        </w:tc>
        <w:tc>
          <w:tcPr>
            <w:tcW w:w="84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3" w:line="219" w:lineRule="auto"/>
              <w:ind w:left="183"/>
            </w:pPr>
            <w:r>
              <w:rPr>
                <w:b/>
                <w:bCs/>
                <w:spacing w:val="-7"/>
              </w:rPr>
              <w:t>任务</w:t>
            </w:r>
          </w:p>
        </w:tc>
        <w:tc>
          <w:tcPr>
            <w:tcW w:w="75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1" w:lineRule="auto"/>
              <w:ind w:left="137"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3657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354"/>
            </w:pPr>
            <w:r>
              <w:rPr>
                <w:b/>
                <w:bCs/>
                <w:spacing w:val="-5"/>
              </w:rPr>
              <w:t>指标名称</w:t>
            </w:r>
          </w:p>
        </w:tc>
        <w:tc>
          <w:tcPr>
            <w:tcW w:w="812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73"/>
            </w:pPr>
            <w:r>
              <w:rPr>
                <w:b/>
                <w:bCs/>
                <w:spacing w:val="-9"/>
              </w:rPr>
              <w:t>单位</w:t>
            </w:r>
          </w:p>
        </w:tc>
        <w:tc>
          <w:tcPr>
            <w:tcW w:w="2530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3" w:line="219" w:lineRule="auto"/>
              <w:ind w:left="913"/>
            </w:pPr>
            <w:r>
              <w:rPr>
                <w:b/>
                <w:bCs/>
                <w:spacing w:val="-6"/>
              </w:rPr>
              <w:t>指标值</w:t>
            </w:r>
          </w:p>
        </w:tc>
        <w:tc>
          <w:tcPr>
            <w:tcW w:w="1556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47" w:line="219" w:lineRule="auto"/>
              <w:ind w:left="426"/>
            </w:pPr>
            <w:r>
              <w:rPr>
                <w:b/>
                <w:bCs/>
                <w:spacing w:val="-6"/>
              </w:rPr>
              <w:t>现状值</w:t>
            </w:r>
          </w:p>
          <w:p>
            <w:pPr>
              <w:pStyle w:val="6"/>
              <w:spacing w:before="26" w:line="211" w:lineRule="auto"/>
              <w:ind w:left="316"/>
            </w:pPr>
            <w:r>
              <w:rPr>
                <w:b/>
                <w:bCs/>
                <w:spacing w:val="-5"/>
              </w:rPr>
              <w:t>（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5"/>
              </w:rPr>
              <w:t>2022</w:t>
            </w:r>
            <w:r>
              <w:rPr>
                <w:b/>
                <w:bCs/>
                <w:spacing w:val="-5"/>
              </w:rPr>
              <w:t>）</w:t>
            </w:r>
          </w:p>
        </w:tc>
        <w:tc>
          <w:tcPr>
            <w:tcW w:w="1213" w:type="dxa"/>
            <w:vMerge w:val="restart"/>
            <w:tcBorders>
              <w:bottom w:val="nil"/>
            </w:tcBorders>
            <w:shd w:val="clear" w:color="auto" w:fill="F1F1F1"/>
            <w:vAlign w:val="top"/>
          </w:tcPr>
          <w:p>
            <w:pPr>
              <w:pStyle w:val="6"/>
              <w:spacing w:before="202" w:line="220" w:lineRule="auto"/>
              <w:ind w:left="132"/>
            </w:pPr>
            <w:r>
              <w:rPr>
                <w:b/>
                <w:bCs/>
                <w:spacing w:val="-5"/>
              </w:rPr>
              <w:t>达标情况</w:t>
            </w:r>
          </w:p>
        </w:tc>
        <w:tc>
          <w:tcPr>
            <w:tcW w:w="2004" w:type="dxa"/>
            <w:gridSpan w:val="2"/>
            <w:shd w:val="clear" w:color="auto" w:fill="F1F1F1"/>
            <w:vAlign w:val="top"/>
          </w:tcPr>
          <w:p>
            <w:pPr>
              <w:pStyle w:val="6"/>
              <w:spacing w:before="41" w:line="207" w:lineRule="auto"/>
              <w:ind w:left="692"/>
            </w:pPr>
            <w:r>
              <w:rPr>
                <w:b/>
                <w:bCs/>
                <w:spacing w:val="-21"/>
              </w:rPr>
              <w:t>目标值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81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29" w:type="dxa"/>
            <w:shd w:val="clear" w:color="auto" w:fill="F1F1F1"/>
            <w:vAlign w:val="top"/>
          </w:tcPr>
          <w:p>
            <w:pPr>
              <w:pStyle w:val="6"/>
              <w:spacing w:before="37" w:line="207" w:lineRule="auto"/>
              <w:ind w:left="129"/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</w:rPr>
              <w:t>2030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11"/>
              </w:rPr>
              <w:t xml:space="preserve"> </w:t>
            </w:r>
            <w:r>
              <w:rPr>
                <w:b/>
                <w:bCs/>
                <w:spacing w:val="-2"/>
              </w:rPr>
              <w:t>年</w:t>
            </w:r>
          </w:p>
        </w:tc>
        <w:tc>
          <w:tcPr>
            <w:tcW w:w="975" w:type="dxa"/>
            <w:shd w:val="clear" w:color="auto" w:fill="F1F1F1"/>
            <w:vAlign w:val="top"/>
          </w:tcPr>
          <w:p>
            <w:pPr>
              <w:pStyle w:val="6"/>
              <w:spacing w:before="37" w:line="207" w:lineRule="auto"/>
              <w:ind w:left="112"/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</w:rPr>
              <w:t>2035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6"/>
              </w:rPr>
              <w:t xml:space="preserve"> </w:t>
            </w:r>
            <w:r>
              <w:rPr>
                <w:b/>
                <w:bCs/>
                <w:spacing w:val="-2"/>
              </w:rPr>
              <w:t>年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</w:trPr>
        <w:tc>
          <w:tcPr>
            <w:tcW w:w="1656" w:type="dxa"/>
            <w:gridSpan w:val="2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1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3657" w:type="dxa"/>
            <w:vAlign w:val="top"/>
          </w:tcPr>
          <w:p>
            <w:pPr>
              <w:spacing w:line="4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519"/>
            </w:pPr>
            <w:r>
              <w:rPr>
                <w:spacing w:val="-2"/>
              </w:rPr>
              <w:t>声环境功能区夜间达标率</w:t>
            </w:r>
          </w:p>
        </w:tc>
        <w:tc>
          <w:tcPr>
            <w:tcW w:w="812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219" w:line="219" w:lineRule="auto"/>
              <w:ind w:left="192"/>
            </w:pPr>
            <w:r>
              <w:rPr>
                <w:spacing w:val="-2"/>
              </w:rPr>
              <w:t>完成上级规定的考核</w:t>
            </w:r>
          </w:p>
          <w:p>
            <w:pPr>
              <w:pStyle w:val="6"/>
              <w:spacing w:before="27" w:line="219" w:lineRule="auto"/>
              <w:ind w:left="112"/>
            </w:pPr>
            <w:r>
              <w:rPr>
                <w:spacing w:val="-10"/>
              </w:rPr>
              <w:t>任务，且保持稳定或持</w:t>
            </w:r>
          </w:p>
          <w:p>
            <w:pPr>
              <w:pStyle w:val="6"/>
              <w:spacing w:before="27" w:line="219" w:lineRule="auto"/>
              <w:ind w:left="913"/>
            </w:pPr>
            <w:r>
              <w:rPr>
                <w:spacing w:val="-5"/>
              </w:rPr>
              <w:t>续提高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219" w:line="219" w:lineRule="auto"/>
              <w:ind w:left="186"/>
            </w:pPr>
            <w:r>
              <w:rPr>
                <w:spacing w:val="-3"/>
              </w:rPr>
              <w:t>无上级考核</w:t>
            </w:r>
          </w:p>
          <w:p>
            <w:pPr>
              <w:pStyle w:val="6"/>
              <w:spacing w:before="27" w:line="219" w:lineRule="auto"/>
              <w:ind w:left="183"/>
            </w:pPr>
            <w:r>
              <w:rPr>
                <w:spacing w:val="-2"/>
              </w:rPr>
              <w:t>任务；当年</w:t>
            </w:r>
          </w:p>
          <w:p>
            <w:pPr>
              <w:pStyle w:val="6"/>
              <w:spacing w:before="27" w:line="219" w:lineRule="auto"/>
              <w:ind w:left="424"/>
              <w:rPr>
                <w:rFonts w:ascii="Times New Roman" w:hAnsi="Times New Roman" w:eastAsia="Times New Roman" w:cs="Times New Roman"/>
              </w:rPr>
            </w:pPr>
            <w:r>
              <w:rPr>
                <w:spacing w:val="-3"/>
              </w:rPr>
              <w:t>值：</w:t>
            </w:r>
            <w:r>
              <w:rPr>
                <w:rFonts w:ascii="Times New Roman" w:hAnsi="Times New Roman" w:eastAsia="Times New Roman" w:cs="Times New Roman"/>
                <w:spacing w:val="-3"/>
              </w:rPr>
              <w:t>90</w:t>
            </w:r>
          </w:p>
        </w:tc>
        <w:tc>
          <w:tcPr>
            <w:tcW w:w="1213" w:type="dxa"/>
            <w:vAlign w:val="top"/>
          </w:tcPr>
          <w:p>
            <w:pPr>
              <w:spacing w:line="45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63" w:line="219" w:lineRule="auto"/>
              <w:ind w:left="170"/>
            </w:pPr>
            <w:r>
              <w:rPr>
                <w:spacing w:val="-2"/>
              </w:rPr>
              <w:t>完成上级规定的</w:t>
            </w:r>
          </w:p>
          <w:p>
            <w:pPr>
              <w:pStyle w:val="6"/>
              <w:spacing w:before="27" w:line="219" w:lineRule="auto"/>
              <w:ind w:left="168"/>
            </w:pPr>
            <w:r>
              <w:rPr>
                <w:spacing w:val="-2"/>
              </w:rPr>
              <w:t>考核任务，且保</w:t>
            </w:r>
          </w:p>
          <w:p>
            <w:pPr>
              <w:pStyle w:val="6"/>
              <w:spacing w:before="27" w:line="219" w:lineRule="auto"/>
              <w:ind w:left="171"/>
            </w:pPr>
            <w:r>
              <w:rPr>
                <w:spacing w:val="-2"/>
              </w:rPr>
              <w:t>持稳定或持续提</w:t>
            </w:r>
          </w:p>
          <w:p>
            <w:pPr>
              <w:pStyle w:val="6"/>
              <w:spacing w:before="27" w:line="219" w:lineRule="auto"/>
              <w:ind w:left="895"/>
            </w:pPr>
            <w:r>
              <w:t>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56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161" w:line="188" w:lineRule="auto"/>
              <w:ind w:left="32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20" w:line="220" w:lineRule="auto"/>
              <w:ind w:left="517"/>
            </w:pPr>
            <w:r>
              <w:rPr>
                <w:spacing w:val="-2"/>
              </w:rPr>
              <w:t>危险废物填埋处置量占比</w:t>
            </w:r>
          </w:p>
        </w:tc>
        <w:tc>
          <w:tcPr>
            <w:tcW w:w="812" w:type="dxa"/>
            <w:vAlign w:val="top"/>
          </w:tcPr>
          <w:p>
            <w:pPr>
              <w:spacing w:before="161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20" w:line="219" w:lineRule="auto"/>
              <w:ind w:left="793"/>
            </w:pPr>
            <w:r>
              <w:rPr>
                <w:spacing w:val="-4"/>
              </w:rPr>
              <w:t>持续下降</w:t>
            </w:r>
          </w:p>
        </w:tc>
        <w:tc>
          <w:tcPr>
            <w:tcW w:w="1556" w:type="dxa"/>
            <w:vAlign w:val="top"/>
          </w:tcPr>
          <w:p>
            <w:pPr>
              <w:spacing w:before="161" w:line="188" w:lineRule="auto"/>
              <w:ind w:left="6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20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spacing w:before="161" w:line="188" w:lineRule="auto"/>
              <w:ind w:left="84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100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1656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1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657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993"/>
            </w:pPr>
            <w:r>
              <w:rPr>
                <w:spacing w:val="-2"/>
              </w:rPr>
              <w:t>河湖岸线保护率</w:t>
            </w:r>
          </w:p>
        </w:tc>
        <w:tc>
          <w:tcPr>
            <w:tcW w:w="812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spacing w:before="69" w:line="188" w:lineRule="auto"/>
              <w:ind w:left="3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95" w:line="230" w:lineRule="auto"/>
              <w:ind w:left="1029" w:right="184" w:hanging="837"/>
            </w:pPr>
            <w:r>
              <w:rPr>
                <w:spacing w:val="-2"/>
              </w:rPr>
              <w:t>完成上级规定的考核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任务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40" w:line="228" w:lineRule="auto"/>
              <w:ind w:left="183" w:right="175" w:firstLine="2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spacing w:val="-3"/>
              </w:rPr>
              <w:t>无上级考核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任务；当年</w:t>
            </w:r>
            <w:r>
              <w:t xml:space="preserve"> </w:t>
            </w:r>
            <w:r>
              <w:rPr>
                <w:spacing w:val="11"/>
              </w:rPr>
              <w:t>值：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94.64</w:t>
            </w:r>
          </w:p>
        </w:tc>
        <w:tc>
          <w:tcPr>
            <w:tcW w:w="1213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95" w:line="230" w:lineRule="auto"/>
              <w:ind w:left="528" w:right="159" w:hanging="358"/>
            </w:pPr>
            <w:r>
              <w:rPr>
                <w:spacing w:val="-2"/>
              </w:rPr>
              <w:t>完成上级规定的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考核任务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656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242" w:line="185" w:lineRule="auto"/>
              <w:ind w:left="3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40" w:line="222" w:lineRule="auto"/>
              <w:ind w:left="1594" w:right="147" w:hanging="1439"/>
            </w:pPr>
            <w:r>
              <w:rPr>
                <w:spacing w:val="-1"/>
              </w:rPr>
              <w:t>规模以下畜禽粪污集中收运利用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体系</w:t>
            </w:r>
          </w:p>
        </w:tc>
        <w:tc>
          <w:tcPr>
            <w:tcW w:w="812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before="69" w:line="115" w:lineRule="exact"/>
              <w:ind w:left="37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position w:val="-2"/>
                <w:sz w:val="24"/>
                <w:szCs w:val="24"/>
              </w:rPr>
              <w:t>-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96" w:line="221" w:lineRule="auto"/>
              <w:ind w:left="1033"/>
            </w:pPr>
            <w:r>
              <w:rPr>
                <w:spacing w:val="-7"/>
              </w:rPr>
              <w:t>建立</w:t>
            </w:r>
          </w:p>
        </w:tc>
        <w:tc>
          <w:tcPr>
            <w:tcW w:w="1556" w:type="dxa"/>
            <w:vAlign w:val="top"/>
          </w:tcPr>
          <w:p>
            <w:pPr>
              <w:pStyle w:val="6"/>
              <w:spacing w:before="40" w:line="222" w:lineRule="auto"/>
              <w:ind w:left="425" w:right="175" w:hanging="237"/>
            </w:pPr>
            <w:r>
              <w:rPr>
                <w:spacing w:val="-3"/>
              </w:rPr>
              <w:t>不涉及散养</w:t>
            </w:r>
            <w:r>
              <w:t xml:space="preserve"> </w:t>
            </w:r>
            <w:r>
              <w:rPr>
                <w:spacing w:val="-4"/>
              </w:rPr>
              <w:t>密集区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96" w:line="221" w:lineRule="auto"/>
              <w:ind w:left="260"/>
            </w:pPr>
            <w:r>
              <w:rPr>
                <w:spacing w:val="-5"/>
              </w:rPr>
              <w:t>不涉及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196" w:line="221" w:lineRule="auto"/>
              <w:ind w:left="652"/>
            </w:pPr>
            <w:r>
              <w:rPr>
                <w:spacing w:val="-5"/>
              </w:rPr>
              <w:t>不涉及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656" w:type="dxa"/>
            <w:gridSpan w:val="2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0" w:type="dxa"/>
            <w:vAlign w:val="top"/>
          </w:tcPr>
          <w:p>
            <w:pPr>
              <w:spacing w:before="239" w:line="188" w:lineRule="auto"/>
              <w:ind w:left="32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3657" w:type="dxa"/>
            <w:vAlign w:val="top"/>
          </w:tcPr>
          <w:p>
            <w:pPr>
              <w:pStyle w:val="6"/>
              <w:spacing w:before="197" w:line="219" w:lineRule="auto"/>
              <w:ind w:left="754"/>
            </w:pPr>
            <w:r>
              <w:rPr>
                <w:spacing w:val="-2"/>
              </w:rPr>
              <w:t>耕地土壤有机质含量</w:t>
            </w:r>
          </w:p>
        </w:tc>
        <w:tc>
          <w:tcPr>
            <w:tcW w:w="812" w:type="dxa"/>
            <w:vAlign w:val="top"/>
          </w:tcPr>
          <w:p>
            <w:pPr>
              <w:spacing w:before="234" w:line="192" w:lineRule="auto"/>
              <w:ind w:left="19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g/kg</w:t>
            </w:r>
          </w:p>
        </w:tc>
        <w:tc>
          <w:tcPr>
            <w:tcW w:w="2530" w:type="dxa"/>
            <w:vAlign w:val="top"/>
          </w:tcPr>
          <w:p>
            <w:pPr>
              <w:pStyle w:val="6"/>
              <w:spacing w:before="198" w:line="219" w:lineRule="auto"/>
              <w:ind w:left="191"/>
            </w:pPr>
            <w:r>
              <w:rPr>
                <w:spacing w:val="-2"/>
              </w:rPr>
              <w:t>保持稳定或有所提高</w:t>
            </w:r>
          </w:p>
        </w:tc>
        <w:tc>
          <w:tcPr>
            <w:tcW w:w="1556" w:type="dxa"/>
            <w:vAlign w:val="top"/>
          </w:tcPr>
          <w:p>
            <w:pPr>
              <w:spacing w:before="239" w:line="188" w:lineRule="auto"/>
              <w:ind w:left="57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67.9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97" w:line="220" w:lineRule="auto"/>
              <w:ind w:left="375"/>
            </w:pPr>
            <w:r>
              <w:rPr>
                <w:spacing w:val="-5"/>
              </w:rPr>
              <w:t>达标</w:t>
            </w:r>
          </w:p>
        </w:tc>
        <w:tc>
          <w:tcPr>
            <w:tcW w:w="2004" w:type="dxa"/>
            <w:gridSpan w:val="2"/>
            <w:vAlign w:val="top"/>
          </w:tcPr>
          <w:p>
            <w:pPr>
              <w:pStyle w:val="6"/>
              <w:spacing w:before="40" w:line="224" w:lineRule="auto"/>
              <w:ind w:left="769" w:right="159" w:hanging="600"/>
            </w:pPr>
            <w:r>
              <w:rPr>
                <w:spacing w:val="-2"/>
              </w:rPr>
              <w:t>保持稳定或有所</w:t>
            </w:r>
            <w:r>
              <w:rPr>
                <w:spacing w:val="2"/>
              </w:rPr>
              <w:t xml:space="preserve"> </w:t>
            </w:r>
            <w:r>
              <w:rPr>
                <w:spacing w:val="-6"/>
              </w:rPr>
              <w:t>提高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44" w:type="default"/>
          <w:pgSz w:w="16839" w:h="11906"/>
          <w:pgMar w:top="1191" w:right="1327" w:bottom="1152" w:left="1327" w:header="882" w:footer="987" w:gutter="0"/>
          <w:cols w:space="720" w:num="1"/>
        </w:sectPr>
      </w:pPr>
    </w:p>
    <w:p>
      <w:pPr>
        <w:spacing w:line="455" w:lineRule="auto"/>
        <w:rPr>
          <w:rFonts w:ascii="Arial"/>
          <w:sz w:val="21"/>
        </w:rPr>
      </w:pPr>
    </w:p>
    <w:p>
      <w:pPr>
        <w:spacing w:before="101" w:line="218" w:lineRule="auto"/>
        <w:ind w:left="32"/>
        <w:outlineLvl w:val="1"/>
        <w:rPr>
          <w:rFonts w:ascii="黑体" w:hAnsi="黑体" w:eastAsia="黑体" w:cs="黑体"/>
          <w:sz w:val="31"/>
          <w:szCs w:val="31"/>
        </w:rPr>
      </w:pPr>
      <w:bookmarkStart w:id="58" w:name="bookmark22"/>
      <w:bookmarkEnd w:id="58"/>
      <w:bookmarkStart w:id="59" w:name="bookmark20"/>
      <w:bookmarkEnd w:id="59"/>
      <w:r>
        <w:rPr>
          <w:rFonts w:ascii="黑体" w:hAnsi="黑体" w:eastAsia="黑体" w:cs="黑体"/>
          <w:b/>
          <w:bCs/>
          <w:spacing w:val="6"/>
          <w:sz w:val="31"/>
          <w:szCs w:val="31"/>
        </w:rPr>
        <w:t>三、健全目标责任体系，强化责任落实</w:t>
      </w:r>
    </w:p>
    <w:p>
      <w:pPr>
        <w:spacing w:before="261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（一）加强生态文明建设工作考核评价</w:t>
      </w:r>
    </w:p>
    <w:p>
      <w:pPr>
        <w:pStyle w:val="2"/>
        <w:spacing w:before="161" w:line="314" w:lineRule="auto"/>
        <w:ind w:left="29" w:right="33" w:firstLine="612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落实党委政府领导责任。健全生态文明建设工作领导小组工</w:t>
      </w:r>
      <w:r>
        <w:rPr>
          <w:spacing w:val="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作机制，完善部门协作机制，落实生态环境保护责任清单。将生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态文明建设责任落实情况作为巡视巡察、干部监督考核等工作的</w:t>
      </w:r>
      <w:r>
        <w:rPr>
          <w:spacing w:val="2"/>
          <w:sz w:val="30"/>
          <w:szCs w:val="30"/>
        </w:rPr>
        <w:t xml:space="preserve"> </w:t>
      </w:r>
      <w:r>
        <w:rPr>
          <w:sz w:val="30"/>
          <w:szCs w:val="30"/>
        </w:rPr>
        <w:t>重要内容，全面落实“党政同责、一岗双责”</w:t>
      </w:r>
      <w:r>
        <w:rPr>
          <w:spacing w:val="-115"/>
          <w:sz w:val="30"/>
          <w:szCs w:val="30"/>
        </w:rPr>
        <w:t xml:space="preserve"> </w:t>
      </w:r>
      <w:r>
        <w:rPr>
          <w:sz w:val="30"/>
          <w:szCs w:val="30"/>
        </w:rPr>
        <w:t>。到</w:t>
      </w:r>
      <w:r>
        <w:rPr>
          <w:spacing w:val="-6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>20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 xml:space="preserve">35 </w:t>
      </w:r>
      <w:r>
        <w:rPr>
          <w:spacing w:val="-1"/>
          <w:sz w:val="30"/>
          <w:szCs w:val="30"/>
        </w:rPr>
        <w:t>年，生</w:t>
      </w:r>
      <w:r>
        <w:rPr>
          <w:sz w:val="30"/>
          <w:szCs w:val="30"/>
        </w:rPr>
        <w:t xml:space="preserve"> </w:t>
      </w:r>
      <w:r>
        <w:rPr>
          <w:spacing w:val="2"/>
          <w:sz w:val="30"/>
          <w:szCs w:val="30"/>
        </w:rPr>
        <w:t>态文明建设工作占党政实绩考核比例保持在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>30%</w:t>
      </w:r>
      <w:r>
        <w:rPr>
          <w:spacing w:val="2"/>
          <w:sz w:val="30"/>
          <w:szCs w:val="30"/>
        </w:rPr>
        <w:t>以上。</w:t>
      </w:r>
    </w:p>
    <w:p>
      <w:pPr>
        <w:pStyle w:val="2"/>
        <w:spacing w:before="47" w:line="314" w:lineRule="auto"/>
        <w:ind w:left="25" w:firstLine="616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完善考核制度体系。建立健全以生态优先、绿色低碳循环发</w:t>
      </w:r>
      <w:r>
        <w:rPr>
          <w:spacing w:val="7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展为导向的高质量发展考核评价体系，注重考核生态环境改善、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产业结构优化、基础设施完善等基础性、长期性工作。合理设定</w:t>
      </w:r>
      <w:r>
        <w:rPr>
          <w:spacing w:val="5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并分解落实生态环境分区管控、资源能源消耗、生态环境损害、</w:t>
      </w:r>
      <w:r>
        <w:rPr>
          <w:spacing w:val="11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生态保护补偿等考核指标。</w:t>
      </w:r>
    </w:p>
    <w:p>
      <w:pPr>
        <w:pStyle w:val="2"/>
        <w:spacing w:before="53" w:line="312" w:lineRule="auto"/>
        <w:ind w:left="22" w:right="5" w:firstLine="622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强化考核结果应用。将考核结果作为各级党政领导班子和领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导干部综合评价、选拔任用、管理监督的重要依据，对生态环境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保护成绩突出的街道（乡镇）、单位和个人给予表彰奖励，形成</w:t>
      </w:r>
      <w:r>
        <w:rPr>
          <w:spacing w:val="9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正向激励，推动各级党政领导干部切实履行生态文明建设职责。</w:t>
      </w:r>
    </w:p>
    <w:p>
      <w:pPr>
        <w:spacing w:before="48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bookmarkStart w:id="60" w:name="bookmark24"/>
      <w:bookmarkEnd w:id="60"/>
      <w:r>
        <w:rPr>
          <w:rFonts w:ascii="黑体" w:hAnsi="黑体" w:eastAsia="黑体" w:cs="黑体"/>
          <w:spacing w:val="-3"/>
          <w:sz w:val="30"/>
          <w:szCs w:val="30"/>
        </w:rPr>
        <w:t>（二）完善生态环境损害责任追究制度</w:t>
      </w:r>
    </w:p>
    <w:p>
      <w:pPr>
        <w:pStyle w:val="2"/>
        <w:spacing w:before="164" w:line="312" w:lineRule="auto"/>
        <w:ind w:left="23" w:right="12" w:firstLine="600"/>
        <w:jc w:val="both"/>
        <w:rPr>
          <w:sz w:val="30"/>
          <w:szCs w:val="30"/>
        </w:rPr>
      </w:pPr>
      <w:r>
        <w:rPr>
          <w:spacing w:val="-3"/>
          <w:sz w:val="30"/>
          <w:szCs w:val="30"/>
        </w:rPr>
        <w:t>建立工作制度。全面落实生态环境损害责任终</w:t>
      </w:r>
      <w:r>
        <w:rPr>
          <w:spacing w:val="-4"/>
          <w:sz w:val="30"/>
          <w:szCs w:val="30"/>
        </w:rPr>
        <w:t>身追究制度，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建立起考责、履责、追责层层相扣的工作制度，对违背科学发展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要求、在生态环境和资源保护方面造成严重破坏负有责任的相关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地方党委和政府有关领导成员严格追责。</w:t>
      </w:r>
    </w:p>
    <w:p>
      <w:pPr>
        <w:pStyle w:val="2"/>
        <w:spacing w:before="52" w:line="309" w:lineRule="auto"/>
        <w:ind w:left="31" w:right="33" w:firstLine="59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加强统筹协调。加强生态文明建设考核与生态环境损</w:t>
      </w:r>
      <w:r>
        <w:rPr>
          <w:spacing w:val="-5"/>
          <w:sz w:val="30"/>
          <w:szCs w:val="30"/>
        </w:rPr>
        <w:t>害责任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追究的统筹协调，推进环境损害司法鉴定评估规范化管理，加大</w:t>
      </w:r>
      <w:r>
        <w:rPr>
          <w:sz w:val="30"/>
          <w:szCs w:val="30"/>
        </w:rPr>
        <w:t xml:space="preserve"> </w:t>
      </w:r>
      <w:bookmarkStart w:id="61" w:name="bookmark26"/>
      <w:bookmarkEnd w:id="61"/>
      <w:r>
        <w:rPr>
          <w:spacing w:val="-2"/>
          <w:sz w:val="30"/>
          <w:szCs w:val="30"/>
        </w:rPr>
        <w:t>对重特大环境事件的责任追究力度。</w:t>
      </w:r>
    </w:p>
    <w:p>
      <w:pPr>
        <w:spacing w:before="52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2"/>
          <w:sz w:val="30"/>
          <w:szCs w:val="30"/>
        </w:rPr>
        <w:t>（三）健全领导干部自然资源资产离任审计</w:t>
      </w:r>
    </w:p>
    <w:p>
      <w:pPr>
        <w:pStyle w:val="2"/>
        <w:spacing w:before="160" w:line="214" w:lineRule="auto"/>
        <w:ind w:right="33"/>
        <w:jc w:val="right"/>
        <w:rPr>
          <w:sz w:val="30"/>
          <w:szCs w:val="30"/>
        </w:rPr>
      </w:pPr>
      <w:r>
        <w:rPr>
          <w:spacing w:val="1"/>
          <w:sz w:val="30"/>
          <w:szCs w:val="30"/>
        </w:rPr>
        <w:t>建立评价指标体系。按照《关于贯彻落实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>&lt;</w:t>
      </w:r>
      <w:r>
        <w:rPr>
          <w:spacing w:val="1"/>
          <w:sz w:val="30"/>
          <w:szCs w:val="30"/>
        </w:rPr>
        <w:t>关于建立健全领</w:t>
      </w:r>
    </w:p>
    <w:p>
      <w:pPr>
        <w:spacing w:line="214" w:lineRule="auto"/>
        <w:rPr>
          <w:sz w:val="30"/>
          <w:szCs w:val="30"/>
        </w:rPr>
        <w:sectPr>
          <w:headerReference r:id="rId45" w:type="default"/>
          <w:footerReference r:id="rId46" w:type="default"/>
          <w:pgSz w:w="11906" w:h="16839"/>
          <w:pgMar w:top="1191" w:right="1766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305" w:lineRule="auto"/>
        <w:ind w:left="38" w:firstLine="1"/>
        <w:rPr>
          <w:sz w:val="30"/>
          <w:szCs w:val="30"/>
        </w:rPr>
      </w:pPr>
      <w:r>
        <w:rPr>
          <w:spacing w:val="-1"/>
          <w:sz w:val="30"/>
          <w:szCs w:val="30"/>
        </w:rPr>
        <w:t>导干部自然资源资产离任审计评价指标体系的意见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&gt;</w:t>
      </w:r>
      <w:r>
        <w:rPr>
          <w:rFonts w:ascii="Times New Roman" w:hAnsi="Times New Roman" w:eastAsia="Times New Roman" w:cs="Times New Roman"/>
          <w:spacing w:val="-36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的</w:t>
      </w:r>
      <w:r>
        <w:rPr>
          <w:spacing w:val="-2"/>
          <w:sz w:val="30"/>
          <w:szCs w:val="30"/>
        </w:rPr>
        <w:t>通知》要</w:t>
      </w:r>
      <w:r>
        <w:rPr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求，结合根河市域自然资源资产禀赋特点，设置个性化二级指标。</w:t>
      </w:r>
    </w:p>
    <w:p>
      <w:pPr>
        <w:pStyle w:val="2"/>
        <w:spacing w:before="46" w:line="315" w:lineRule="auto"/>
        <w:ind w:left="22" w:right="82" w:firstLine="60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加强审计结果运用。以领导干部任期内辖区自然资源</w:t>
      </w:r>
      <w:r>
        <w:rPr>
          <w:spacing w:val="-5"/>
          <w:sz w:val="30"/>
          <w:szCs w:val="30"/>
        </w:rPr>
        <w:t>资产变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化状况为基础，通过审计，客观评价领导干部履行自然资源资产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管理责任情况，依法界定领导干部应当承担的责任，加强审计结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果运用。促进领导干部守法、守纪、守规、尽责，切实履行自然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资源资产管理和生态环境保护责任，促进自然资源资产节约集约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利用和生态环境安全。</w:t>
      </w:r>
    </w:p>
    <w:p>
      <w:pPr>
        <w:pStyle w:val="2"/>
        <w:spacing w:before="54" w:line="312" w:lineRule="auto"/>
        <w:ind w:left="22" w:right="82" w:firstLine="622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强化综合评价。从领导干部任职期间资源环境相关决策与监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管职能履行情况、资源环境约束性指标完成情况、自然资源开发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利用与生态保护修复情况、环境综合治理情况、资源环境相关资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金项目管理绩效等方面进行综合评价。</w:t>
      </w:r>
    </w:p>
    <w:p>
      <w:pPr>
        <w:spacing w:before="200" w:line="218" w:lineRule="auto"/>
        <w:ind w:left="45"/>
        <w:outlineLvl w:val="1"/>
        <w:rPr>
          <w:rFonts w:ascii="黑体" w:hAnsi="黑体" w:eastAsia="黑体" w:cs="黑体"/>
          <w:sz w:val="31"/>
          <w:szCs w:val="31"/>
        </w:rPr>
      </w:pPr>
      <w:bookmarkStart w:id="62" w:name="bookmark30"/>
      <w:bookmarkEnd w:id="62"/>
      <w:bookmarkStart w:id="63" w:name="bookmark28"/>
      <w:bookmarkEnd w:id="63"/>
      <w:r>
        <w:rPr>
          <w:rFonts w:ascii="黑体" w:hAnsi="黑体" w:eastAsia="黑体" w:cs="黑体"/>
          <w:b/>
          <w:bCs/>
          <w:spacing w:val="5"/>
          <w:sz w:val="31"/>
          <w:szCs w:val="31"/>
        </w:rPr>
        <w:t>四、优化生态空间，提升生态质量</w:t>
      </w:r>
    </w:p>
    <w:p>
      <w:pPr>
        <w:spacing w:before="260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（一）严格落实生态空间分区管控</w:t>
      </w:r>
    </w:p>
    <w:p>
      <w:pPr>
        <w:pStyle w:val="2"/>
        <w:spacing w:before="162" w:line="214" w:lineRule="auto"/>
        <w:ind w:left="633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7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b/>
          <w:bCs/>
          <w:spacing w:val="-36"/>
          <w:sz w:val="30"/>
          <w:szCs w:val="30"/>
        </w:rPr>
        <w:t xml:space="preserve"> </w:t>
      </w:r>
      <w:r>
        <w:rPr>
          <w:b/>
          <w:bCs/>
          <w:spacing w:val="-7"/>
          <w:sz w:val="30"/>
          <w:szCs w:val="30"/>
        </w:rPr>
        <w:t>、严格生态保护红线保护</w:t>
      </w:r>
    </w:p>
    <w:p>
      <w:pPr>
        <w:pStyle w:val="2"/>
        <w:spacing w:before="170" w:line="315" w:lineRule="auto"/>
        <w:ind w:left="22" w:right="82" w:firstLine="597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严守生态保护红线。推进精细化空间管控，严禁不符合主体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功能定位的各类开发活动，进一步推动违法违规侵占生态空间的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退出和修复。将生态保护红线作为维持全市生态功能的底线，确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保生态功能不降低、面积不减少、性质不改变，有效保护重要生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态功能区域、重要生态系统及主要物种，提高全市生态产品供给</w:t>
      </w:r>
      <w:r>
        <w:rPr>
          <w:spacing w:val="9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能力。</w:t>
      </w:r>
    </w:p>
    <w:p>
      <w:pPr>
        <w:pStyle w:val="2"/>
        <w:spacing w:before="53" w:line="312" w:lineRule="auto"/>
        <w:ind w:left="23" w:right="62" w:firstLine="611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开展生态保护红线监管。配合上级完成生态保护红线勘界定</w:t>
      </w:r>
      <w:r>
        <w:rPr>
          <w:spacing w:val="14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标等工作，开展生态保护红线区生态状况和人类活动基础调查，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对生态保护红线保护成效进行评价考核，及时发现和依法处罚破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坏生态保护红线的违法行为，切实做到有案必查、违法必究。</w:t>
      </w:r>
    </w:p>
    <w:p>
      <w:pPr>
        <w:pStyle w:val="2"/>
        <w:spacing w:before="49" w:line="213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b/>
          <w:bCs/>
          <w:spacing w:val="-36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、落实生态环境分区管控</w:t>
      </w:r>
    </w:p>
    <w:p>
      <w:pPr>
        <w:spacing w:line="213" w:lineRule="auto"/>
        <w:rPr>
          <w:sz w:val="30"/>
          <w:szCs w:val="30"/>
        </w:rPr>
        <w:sectPr>
          <w:headerReference r:id="rId47" w:type="default"/>
          <w:footerReference r:id="rId48" w:type="default"/>
          <w:pgSz w:w="11906" w:h="16839"/>
          <w:pgMar w:top="1191" w:right="1716" w:bottom="1152" w:left="1785" w:header="882" w:footer="987" w:gutter="0"/>
          <w:cols w:space="720" w:num="1"/>
        </w:sectPr>
      </w:pPr>
    </w:p>
    <w:p>
      <w:pPr>
        <w:spacing w:line="303" w:lineRule="auto"/>
        <w:rPr>
          <w:rFonts w:ascii="Arial"/>
          <w:sz w:val="21"/>
        </w:rPr>
      </w:pPr>
    </w:p>
    <w:p>
      <w:pPr>
        <w:pStyle w:val="2"/>
        <w:spacing w:before="97" w:line="317" w:lineRule="auto"/>
        <w:ind w:left="29" w:right="12" w:firstLine="612"/>
        <w:jc w:val="both"/>
        <w:rPr>
          <w:sz w:val="30"/>
          <w:szCs w:val="30"/>
        </w:rPr>
      </w:pPr>
      <w:r>
        <w:rPr>
          <w:spacing w:val="-6"/>
          <w:sz w:val="30"/>
          <w:szCs w:val="30"/>
        </w:rPr>
        <w:t>完善基于实施“</w:t>
      </w:r>
      <w:r>
        <w:rPr>
          <w:spacing w:val="-117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三线一单”的生态环境分区管控。严格按照</w:t>
      </w:r>
      <w:r>
        <w:rPr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国家和自治区主体功能区规划功能定位，落</w:t>
      </w:r>
      <w:r>
        <w:rPr>
          <w:spacing w:val="-7"/>
          <w:sz w:val="30"/>
          <w:szCs w:val="30"/>
        </w:rPr>
        <w:t>实国土空间用途管制，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约束不符合主体功能区定位的开发行为。建全环境影响评价等生</w:t>
      </w:r>
      <w:r>
        <w:rPr>
          <w:spacing w:val="1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态环境源头预防体系，充分发挥规划环评对区域生产力布局的指</w:t>
      </w:r>
      <w:r>
        <w:rPr>
          <w:spacing w:val="1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导和规范作用，从空间布局约束、污染物排放管控、环境风险防</w:t>
      </w:r>
      <w:r>
        <w:rPr>
          <w:spacing w:val="1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控、资源开发效率等方面，提出优布局、调结构、控规模、保功</w:t>
      </w:r>
      <w:r>
        <w:rPr>
          <w:spacing w:val="1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能等调控策略及环境治理要求，对接绿色发展重大项目信息，建</w:t>
      </w:r>
      <w:r>
        <w:rPr>
          <w:spacing w:val="1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立环保服务清单，开辟重大基础设施、民生工程项目服务绿色通</w:t>
      </w:r>
      <w:r>
        <w:rPr>
          <w:spacing w:val="1"/>
          <w:sz w:val="30"/>
          <w:szCs w:val="30"/>
        </w:rPr>
        <w:t xml:space="preserve">  </w:t>
      </w:r>
      <w:r>
        <w:rPr>
          <w:spacing w:val="-1"/>
          <w:sz w:val="30"/>
          <w:szCs w:val="30"/>
        </w:rPr>
        <w:t>道，为产业结构优化调整提供科学依据。</w:t>
      </w:r>
    </w:p>
    <w:p>
      <w:pPr>
        <w:pStyle w:val="2"/>
        <w:spacing w:before="48" w:line="214" w:lineRule="auto"/>
        <w:ind w:left="618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b/>
          <w:bCs/>
          <w:spacing w:val="-38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、加强保护地体系建设</w:t>
      </w:r>
    </w:p>
    <w:p>
      <w:pPr>
        <w:pStyle w:val="2"/>
        <w:spacing w:before="168" w:line="316" w:lineRule="auto"/>
        <w:ind w:left="22" w:right="151" w:firstLine="60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推进自然保护地体系建设。科学划定自然保护地类型</w:t>
      </w:r>
      <w:r>
        <w:rPr>
          <w:spacing w:val="-5"/>
          <w:sz w:val="30"/>
          <w:szCs w:val="30"/>
        </w:rPr>
        <w:t>、范围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及功能分区，加快完成各类自然保护地整合优化及勘界立标，推</w:t>
      </w:r>
      <w:r>
        <w:rPr>
          <w:spacing w:val="9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动国家森林公园、国家湿地公园建设，构建以国家森林公园为主、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自然保护区为基础、各类自然公园为补充的自然保护地体系。严</w:t>
      </w:r>
      <w:r>
        <w:rPr>
          <w:spacing w:val="9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格管控自然保护地范围内非生态活动，到</w:t>
      </w:r>
      <w:r>
        <w:rPr>
          <w:spacing w:val="-5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2030 </w:t>
      </w:r>
      <w:r>
        <w:rPr>
          <w:spacing w:val="1"/>
          <w:sz w:val="30"/>
          <w:szCs w:val="30"/>
        </w:rPr>
        <w:t>年，初步建成具</w:t>
      </w:r>
      <w:r>
        <w:rPr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有根河特色的以国家森林公园为主体的健康稳定高效自然保护</w:t>
      </w:r>
      <w:r>
        <w:rPr>
          <w:spacing w:val="8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地体系。</w:t>
      </w:r>
    </w:p>
    <w:p>
      <w:pPr>
        <w:pStyle w:val="2"/>
        <w:spacing w:before="49" w:line="315" w:lineRule="auto"/>
        <w:ind w:left="25" w:right="151" w:firstLine="600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加强自然保护地监管。完成自然保护地勘界立标，按</w:t>
      </w:r>
      <w:r>
        <w:rPr>
          <w:spacing w:val="-5"/>
          <w:sz w:val="30"/>
          <w:szCs w:val="30"/>
        </w:rPr>
        <w:t>照自治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区制定的自然保护地内建设项目负面清单开展工作，构建统一的</w:t>
      </w:r>
      <w:r>
        <w:rPr>
          <w:spacing w:val="5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自然保护地分类分级管理体制。持续推进“绿盾”</w:t>
      </w:r>
      <w:r>
        <w:rPr>
          <w:spacing w:val="-116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自然保护地监</w:t>
      </w:r>
      <w:r>
        <w:rPr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督工作，严格落实自然保护地生态环境问题台账管理、跟踪监督、</w:t>
      </w:r>
      <w:r>
        <w:rPr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整改销号制度。开展自然保护地人类活动遥感监测点位实地核查</w:t>
      </w:r>
      <w:r>
        <w:rPr>
          <w:spacing w:val="5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和处理。</w:t>
      </w:r>
    </w:p>
    <w:p>
      <w:pPr>
        <w:pStyle w:val="2"/>
        <w:spacing w:before="50" w:line="214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4</w:t>
      </w:r>
      <w:r>
        <w:rPr>
          <w:rFonts w:ascii="Times New Roman" w:hAnsi="Times New Roman" w:eastAsia="Times New Roman" w:cs="Times New Roman"/>
          <w:b/>
          <w:bCs/>
          <w:spacing w:val="-28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、优化国土空间开发保护格局</w:t>
      </w:r>
    </w:p>
    <w:p>
      <w:pPr>
        <w:pStyle w:val="2"/>
        <w:spacing w:before="171" w:line="305" w:lineRule="auto"/>
        <w:ind w:left="44" w:firstLine="575"/>
        <w:rPr>
          <w:sz w:val="30"/>
          <w:szCs w:val="30"/>
        </w:rPr>
      </w:pPr>
      <w:r>
        <w:rPr>
          <w:spacing w:val="-6"/>
          <w:sz w:val="30"/>
          <w:szCs w:val="30"/>
        </w:rPr>
        <w:t>严格落实国家和自治区主体功能区战略，科学构建市域生态、</w:t>
      </w:r>
      <w:r>
        <w:rPr>
          <w:spacing w:val="1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生产、生活三大空间，构建“一屏三水、点轴集聚”的保护开发</w:t>
      </w:r>
    </w:p>
    <w:p>
      <w:pPr>
        <w:spacing w:line="305" w:lineRule="auto"/>
        <w:rPr>
          <w:sz w:val="30"/>
          <w:szCs w:val="30"/>
        </w:rPr>
        <w:sectPr>
          <w:headerReference r:id="rId49" w:type="default"/>
          <w:footerReference r:id="rId50" w:type="default"/>
          <w:pgSz w:w="11906" w:h="16839"/>
          <w:pgMar w:top="1191" w:right="1559" w:bottom="1152" w:left="1785" w:header="882" w:footer="987" w:gutter="0"/>
          <w:cols w:space="720" w:num="1"/>
        </w:sectPr>
      </w:pPr>
    </w:p>
    <w:p>
      <w:pPr>
        <w:spacing w:line="310" w:lineRule="auto"/>
        <w:rPr>
          <w:rFonts w:ascii="Arial"/>
          <w:sz w:val="21"/>
        </w:rPr>
      </w:pPr>
    </w:p>
    <w:p>
      <w:pPr>
        <w:pStyle w:val="2"/>
        <w:spacing w:before="98" w:line="316" w:lineRule="auto"/>
        <w:ind w:left="20" w:right="199" w:firstLine="25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总体格局，形成主体功能定位清晰、国土空间高效利用、人与自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然和谐相处的国土空间开发新格局。强化国土空间用途管制，坚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持底线思维，把“三区三线”即城镇、农业、生态空间和生态保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护红线、永久基本农田保护红线、城镇开发边界作为调整经济结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构、规划产业发展、推进城镇化不可逾越的红线。按照生态红线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范围严格管控，进一步推动违法违规侵占生态空间活动的退出和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修复；严格控制城镇开发边界防止城镇无序扩张，加大城镇生态</w:t>
      </w:r>
      <w:r>
        <w:rPr>
          <w:spacing w:val="11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系统保护修复力度，优化建成区绿地格局、增强绿地生态功能。</w:t>
      </w:r>
    </w:p>
    <w:p>
      <w:pPr>
        <w:spacing w:before="50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（二）持续推进生态系统保护修复</w:t>
      </w:r>
    </w:p>
    <w:p>
      <w:pPr>
        <w:pStyle w:val="2"/>
        <w:spacing w:before="159" w:line="214" w:lineRule="auto"/>
        <w:ind w:left="633"/>
        <w:rPr>
          <w:sz w:val="30"/>
          <w:szCs w:val="30"/>
        </w:rPr>
      </w:pPr>
      <w:bookmarkStart w:id="64" w:name="bookmark32"/>
      <w:bookmarkEnd w:id="64"/>
      <w:r>
        <w:rPr>
          <w:rFonts w:ascii="Times New Roman" w:hAnsi="Times New Roman" w:eastAsia="Times New Roman" w:cs="Times New Roman"/>
          <w:b/>
          <w:bCs/>
          <w:spacing w:val="-7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b/>
          <w:bCs/>
          <w:spacing w:val="-36"/>
          <w:sz w:val="30"/>
          <w:szCs w:val="30"/>
        </w:rPr>
        <w:t xml:space="preserve"> </w:t>
      </w:r>
      <w:r>
        <w:rPr>
          <w:b/>
          <w:bCs/>
          <w:spacing w:val="-7"/>
          <w:sz w:val="30"/>
          <w:szCs w:val="30"/>
        </w:rPr>
        <w:t>、推进森林生态系统修复</w:t>
      </w:r>
    </w:p>
    <w:p>
      <w:pPr>
        <w:pStyle w:val="2"/>
        <w:spacing w:before="175" w:line="316" w:lineRule="auto"/>
        <w:ind w:left="23" w:firstLine="602"/>
        <w:rPr>
          <w:sz w:val="30"/>
          <w:szCs w:val="30"/>
        </w:rPr>
      </w:pPr>
      <w:r>
        <w:rPr>
          <w:spacing w:val="-4"/>
          <w:sz w:val="30"/>
          <w:szCs w:val="30"/>
        </w:rPr>
        <w:t>加快培育森林资源。按照多功能林业的发展方向，以</w:t>
      </w:r>
      <w:r>
        <w:rPr>
          <w:spacing w:val="-5"/>
          <w:sz w:val="30"/>
          <w:szCs w:val="30"/>
        </w:rPr>
        <w:t>针阔混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交、复层异龄为目标，调整和优化林分林龄结构、树种结构和林</w:t>
      </w:r>
      <w:r>
        <w:rPr>
          <w:spacing w:val="4"/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层结构，提高林分生长量和林分质量。充分利用宜林荒山荒</w:t>
      </w:r>
      <w:r>
        <w:rPr>
          <w:sz w:val="30"/>
          <w:szCs w:val="30"/>
        </w:rPr>
        <w:t xml:space="preserve">地、 </w:t>
      </w:r>
      <w:r>
        <w:rPr>
          <w:spacing w:val="-4"/>
          <w:sz w:val="30"/>
          <w:szCs w:val="30"/>
        </w:rPr>
        <w:t>火烧迹地、采伐迹地等无立木林地，实施人工造林、人工促进天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然更新，培育新一代针阔混交林，恢复和发展森林资源。加强森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林经营，对低质低效林进行改造，对适合封育的幼、中、近熟林</w:t>
      </w:r>
      <w:r>
        <w:rPr>
          <w:spacing w:val="4"/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进行封山育林，对公益林和商品林采取不同的森林资源培</w:t>
      </w:r>
      <w:r>
        <w:rPr>
          <w:spacing w:val="-7"/>
          <w:sz w:val="30"/>
          <w:szCs w:val="30"/>
        </w:rPr>
        <w:t>育措施，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提高森林质量，争取成为我国重要的木材储备基地。</w:t>
      </w:r>
    </w:p>
    <w:p>
      <w:pPr>
        <w:pStyle w:val="2"/>
        <w:spacing w:before="54" w:line="315" w:lineRule="auto"/>
        <w:ind w:left="28" w:firstLine="596"/>
        <w:rPr>
          <w:sz w:val="30"/>
          <w:szCs w:val="30"/>
        </w:rPr>
      </w:pPr>
      <w:r>
        <w:rPr>
          <w:spacing w:val="-7"/>
          <w:sz w:val="30"/>
          <w:szCs w:val="30"/>
        </w:rPr>
        <w:t>全面落实保护发展森林资源目标责任制，加强森林资源保护，</w:t>
      </w:r>
      <w:r>
        <w:rPr>
          <w:spacing w:val="10"/>
          <w:sz w:val="30"/>
          <w:szCs w:val="30"/>
        </w:rPr>
        <w:t xml:space="preserve"> </w:t>
      </w:r>
      <w:r>
        <w:rPr>
          <w:spacing w:val="-8"/>
          <w:sz w:val="30"/>
          <w:szCs w:val="30"/>
        </w:rPr>
        <w:t>实施城镇周边林地环境治理工程，加强国有林区管护用房、供电、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饮水、道路、通信等基础设施建设，扎实开展森林防火、林业有</w:t>
      </w:r>
      <w:r>
        <w:rPr>
          <w:spacing w:val="1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害生物灾害防治，严厉打击乱砍滥伐等违法犯罪行为。积极开展</w:t>
      </w:r>
      <w:r>
        <w:rPr>
          <w:spacing w:val="1"/>
          <w:sz w:val="30"/>
          <w:szCs w:val="30"/>
        </w:rPr>
        <w:t xml:space="preserve">  国土绿化行动，吸引多方力量造林绿化。结合天然林保护工</w:t>
      </w:r>
      <w:r>
        <w:rPr>
          <w:sz w:val="30"/>
          <w:szCs w:val="30"/>
        </w:rPr>
        <w:t xml:space="preserve">程， </w:t>
      </w:r>
      <w:r>
        <w:rPr>
          <w:spacing w:val="-8"/>
          <w:sz w:val="30"/>
          <w:szCs w:val="30"/>
        </w:rPr>
        <w:t>通过封山育林、植树造林、退耕还林还草等措施，增加植被覆盖。</w:t>
      </w:r>
      <w:r>
        <w:rPr>
          <w:spacing w:val="4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规划期间，森林覆盖率保持稳定，森林蓄积量持续提高。</w:t>
      </w:r>
    </w:p>
    <w:p>
      <w:pPr>
        <w:pStyle w:val="2"/>
        <w:spacing w:before="52" w:line="214" w:lineRule="auto"/>
        <w:ind w:left="641"/>
        <w:rPr>
          <w:sz w:val="30"/>
          <w:szCs w:val="30"/>
        </w:rPr>
      </w:pPr>
      <w:r>
        <w:rPr>
          <w:spacing w:val="-1"/>
          <w:sz w:val="30"/>
          <w:szCs w:val="30"/>
        </w:rPr>
        <w:t>实施生态公益林补偿基金制度，制定补偿措施和补偿</w:t>
      </w:r>
      <w:r>
        <w:rPr>
          <w:spacing w:val="-2"/>
          <w:sz w:val="30"/>
          <w:szCs w:val="30"/>
        </w:rPr>
        <w:t>办法，</w:t>
      </w:r>
    </w:p>
    <w:p>
      <w:pPr>
        <w:spacing w:line="214" w:lineRule="auto"/>
        <w:rPr>
          <w:sz w:val="30"/>
          <w:szCs w:val="30"/>
        </w:rPr>
        <w:sectPr>
          <w:headerReference r:id="rId51" w:type="default"/>
          <w:footerReference r:id="rId52" w:type="default"/>
          <w:pgSz w:w="11906" w:h="16839"/>
          <w:pgMar w:top="1191" w:right="1572" w:bottom="1152" w:left="1785" w:header="882" w:footer="987" w:gutter="0"/>
          <w:cols w:space="720" w:num="1"/>
        </w:sectPr>
      </w:pPr>
    </w:p>
    <w:p>
      <w:pPr>
        <w:spacing w:line="306" w:lineRule="auto"/>
        <w:rPr>
          <w:rFonts w:ascii="Arial"/>
          <w:sz w:val="21"/>
        </w:rPr>
      </w:pPr>
    </w:p>
    <w:p>
      <w:pPr>
        <w:pStyle w:val="2"/>
        <w:spacing w:before="98" w:line="317" w:lineRule="auto"/>
        <w:ind w:left="23" w:right="12" w:firstLine="11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补偿生态公益林建设对部分林区居民生产生活造成的损</w:t>
      </w:r>
      <w:r>
        <w:rPr>
          <w:spacing w:val="-5"/>
          <w:sz w:val="30"/>
          <w:szCs w:val="30"/>
        </w:rPr>
        <w:t>失。在生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态公益林建设中，强化水源涵养林和风景林建设。在穿越市区、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镇区的河流两岸建设水土保持林，保护堤岸，涵养水源，减少水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土流失。加强中心市区及市域主要河流两岸的生态维护建设，全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面改善根河市中心城区周边的自然生态环境，大幅度增加城市绿</w:t>
      </w:r>
      <w:r>
        <w:rPr>
          <w:spacing w:val="8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地、生态林地和生态湿地。重点建设中心城</w:t>
      </w:r>
      <w:r>
        <w:rPr>
          <w:spacing w:val="-12"/>
          <w:sz w:val="30"/>
          <w:szCs w:val="30"/>
        </w:rPr>
        <w:t>区根河市沿岸景观区，</w:t>
      </w:r>
      <w:r>
        <w:rPr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将改善中心城区及敖鲁古雅部落景区周边生态环境与旅游景观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建设相结合，通过生态环境建设营造良好的休闲度假环境。在全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市境内形成防护林纵横交错、相互连接，林种结构合理、生态效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益显著的防护林体系。</w:t>
      </w:r>
    </w:p>
    <w:p>
      <w:pPr>
        <w:pStyle w:val="2"/>
        <w:spacing w:before="51" w:line="214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b/>
          <w:bCs/>
          <w:spacing w:val="-36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、加强湿地生态系统保护</w:t>
      </w:r>
    </w:p>
    <w:p>
      <w:pPr>
        <w:pStyle w:val="2"/>
        <w:spacing w:before="171" w:line="317" w:lineRule="auto"/>
        <w:ind w:left="24" w:firstLine="601"/>
        <w:jc w:val="both"/>
        <w:rPr>
          <w:sz w:val="30"/>
          <w:szCs w:val="30"/>
        </w:rPr>
      </w:pPr>
      <w:r>
        <w:rPr>
          <w:spacing w:val="-1"/>
          <w:sz w:val="30"/>
          <w:szCs w:val="30"/>
        </w:rPr>
        <w:t>加强湿地生态系统保护，完善湿地公园保护基础设施建设，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加大公园巡护力度，安装防护围栏，建设管护站，对湿地环境进</w:t>
      </w:r>
      <w:r>
        <w:rPr>
          <w:spacing w:val="6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行整治，促进湿地植被恢复。加大对湿地公园范围内乱采、乱建、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乱堆、乱占等破坏、侵占湿地问题的排查整治工作。严格监督建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设用地占用湿地，对已开垦湿地制定退耕方案，并采取措施确保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退耕还湿落实到位，保证湿地面积不减少。加大湿地保护宣传力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度，结合世界湿地日开展宣传教育活动，增强全社会湿地保护意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识。以湿地地理信息为基础，建立空间化、智慧化、科学化、全</w:t>
      </w:r>
      <w:r>
        <w:rPr>
          <w:spacing w:val="6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面化的湿地生态监测管理平台，实现湿地精准管理、科学保护，</w:t>
      </w:r>
      <w:r>
        <w:rPr>
          <w:spacing w:val="11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为湿地管理、规划及保护提供科学依据。</w:t>
      </w:r>
    </w:p>
    <w:p>
      <w:pPr>
        <w:pStyle w:val="2"/>
        <w:spacing w:before="48" w:line="216" w:lineRule="auto"/>
        <w:ind w:left="618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b/>
          <w:bCs/>
          <w:spacing w:val="-33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、推进矿山综合治理修复</w:t>
      </w:r>
    </w:p>
    <w:p>
      <w:pPr>
        <w:pStyle w:val="2"/>
        <w:spacing w:before="170" w:line="312" w:lineRule="auto"/>
        <w:ind w:left="29" w:right="88" w:firstLine="609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大力推进绿色矿山建设，抓好矿山综合治理。根据全市发展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整体布局做好矿产资源开发规划，按照“谁开发谁保护，谁损坏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谁恢复”的原则，重点加强呼伦贝尔山金、森鑫、比利亚等矿业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对水土流失的治理与修复，强化尾矿治理。实施严格的矿山地质</w:t>
      </w:r>
    </w:p>
    <w:p>
      <w:pPr>
        <w:spacing w:line="312" w:lineRule="auto"/>
        <w:rPr>
          <w:sz w:val="30"/>
          <w:szCs w:val="30"/>
        </w:rPr>
        <w:sectPr>
          <w:headerReference r:id="rId53" w:type="default"/>
          <w:footerReference r:id="rId54" w:type="default"/>
          <w:pgSz w:w="11906" w:h="16839"/>
          <w:pgMar w:top="1191" w:right="1711" w:bottom="1152" w:left="1785" w:header="882" w:footer="987" w:gutter="0"/>
          <w:cols w:space="720" w:num="1"/>
        </w:sectPr>
      </w:pPr>
    </w:p>
    <w:p>
      <w:pPr>
        <w:spacing w:line="314" w:lineRule="auto"/>
        <w:rPr>
          <w:rFonts w:ascii="Arial"/>
          <w:sz w:val="21"/>
        </w:rPr>
      </w:pPr>
    </w:p>
    <w:p>
      <w:pPr>
        <w:pStyle w:val="2"/>
        <w:spacing w:before="97" w:line="316" w:lineRule="auto"/>
        <w:ind w:left="22" w:firstLine="3"/>
        <w:jc w:val="both"/>
        <w:rPr>
          <w:sz w:val="30"/>
          <w:szCs w:val="30"/>
        </w:rPr>
      </w:pPr>
      <w:r>
        <w:rPr>
          <w:spacing w:val="-9"/>
          <w:sz w:val="30"/>
          <w:szCs w:val="30"/>
        </w:rPr>
        <w:t>环境准入条件，严格落实《内蒙古自治区矿山地质环境治理办</w:t>
      </w:r>
      <w:r>
        <w:rPr>
          <w:spacing w:val="-10"/>
          <w:sz w:val="30"/>
          <w:szCs w:val="30"/>
        </w:rPr>
        <w:t>法》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及相关技术要求。新建（改建、扩建）矿山要充分论证其对生态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环境的影响，严格限制在生态环境脆弱区、地质灾害易发区内新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建普通砂石粘土矿山及开采固体矿产资源。明确矿产资源开发利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用主体的环境保护责任。实施矿山地质环境定期报告制度和矿山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地质环境督查、监察制度，建立地质环境动态数据库，全面掌握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矿山地质环境动态变化情况，对企业矿山环境治理恢复进行监督</w:t>
      </w:r>
      <w:r>
        <w:rPr>
          <w:spacing w:val="4"/>
          <w:sz w:val="30"/>
          <w:szCs w:val="30"/>
        </w:rPr>
        <w:t xml:space="preserve">  </w:t>
      </w:r>
      <w:bookmarkStart w:id="65" w:name="bookmark34"/>
      <w:bookmarkEnd w:id="65"/>
      <w:r>
        <w:rPr>
          <w:spacing w:val="-3"/>
          <w:sz w:val="30"/>
          <w:szCs w:val="30"/>
        </w:rPr>
        <w:t>检查。</w:t>
      </w:r>
    </w:p>
    <w:p>
      <w:pPr>
        <w:spacing w:before="46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（三）强化生物多样性与安全保护</w:t>
      </w:r>
    </w:p>
    <w:p>
      <w:pPr>
        <w:pStyle w:val="2"/>
        <w:spacing w:before="158" w:line="315" w:lineRule="auto"/>
        <w:ind w:left="18" w:right="143" w:firstLine="606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加强生物多样性保护。加强国家重点保护和珍稀濒危</w:t>
      </w:r>
      <w:r>
        <w:rPr>
          <w:spacing w:val="-5"/>
          <w:sz w:val="30"/>
          <w:szCs w:val="30"/>
        </w:rPr>
        <w:t>野生动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植物及其栖息地、原生境的保护修复，连通重要物种迁徙扩散生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态廊道，构筑生物多样性保护网络。创新宣传方式，加大生物多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样性保护宣传教育，加强野生动植物保护监督，坚决打击各类乱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捕滥猎，全面禁止非法野生动物交易。建立野生动植物保护长效</w:t>
      </w:r>
      <w:r>
        <w:rPr>
          <w:spacing w:val="1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机制。</w:t>
      </w:r>
    </w:p>
    <w:p>
      <w:pPr>
        <w:pStyle w:val="2"/>
        <w:spacing w:before="46" w:line="314" w:lineRule="auto"/>
        <w:ind w:left="22" w:right="143" w:firstLine="60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加强生物遗传资源保护和生物安全管理。强化野生生</w:t>
      </w:r>
      <w:r>
        <w:rPr>
          <w:spacing w:val="-5"/>
          <w:sz w:val="30"/>
          <w:szCs w:val="30"/>
        </w:rPr>
        <w:t>物种质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资源收集、保藏，健全种质资源保存体系，开展重要生物遗传资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源保护成效评估。建立健全生物安全风险防控体系。加强对自然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保护地、生物多样性保护优先区等重点区域外来入侵物种防控工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作的监督，开展自然保护地外来入侵物种长效评估。</w:t>
      </w:r>
    </w:p>
    <w:p>
      <w:pPr>
        <w:spacing w:before="51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bookmarkStart w:id="66" w:name="bookmark36"/>
      <w:bookmarkEnd w:id="66"/>
      <w:r>
        <w:rPr>
          <w:rFonts w:ascii="黑体" w:hAnsi="黑体" w:eastAsia="黑体" w:cs="黑体"/>
          <w:spacing w:val="-3"/>
          <w:sz w:val="30"/>
          <w:szCs w:val="30"/>
        </w:rPr>
        <w:t>（四）筑牢维护全域生态安全格局</w:t>
      </w:r>
    </w:p>
    <w:p>
      <w:pPr>
        <w:pStyle w:val="2"/>
        <w:spacing w:before="159" w:line="314" w:lineRule="auto"/>
        <w:ind w:left="25" w:right="143" w:firstLine="641"/>
        <w:jc w:val="both"/>
        <w:rPr>
          <w:sz w:val="30"/>
          <w:szCs w:val="30"/>
        </w:rPr>
      </w:pPr>
      <w:r>
        <w:rPr>
          <w:spacing w:val="-6"/>
          <w:sz w:val="30"/>
          <w:szCs w:val="30"/>
        </w:rPr>
        <w:t>以大兴安岭生态屏障为统领，根河、得耳布尔河、激流河等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生态廊道为脉络，以自然保护地为主体，构筑“林水共保、园区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共建”的生态安全格局。根据国土空间规划中生态功能重要性评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价结果将生态保护红线范围，生态极重要区范围，除城镇周边的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现状林地、草地、湿地、水域等生态用地作为重要生态源地。将</w:t>
      </w:r>
    </w:p>
    <w:p>
      <w:pPr>
        <w:spacing w:line="314" w:lineRule="auto"/>
        <w:rPr>
          <w:sz w:val="30"/>
          <w:szCs w:val="30"/>
        </w:rPr>
        <w:sectPr>
          <w:headerReference r:id="rId55" w:type="default"/>
          <w:footerReference r:id="rId56" w:type="default"/>
          <w:pgSz w:w="11906" w:h="16839"/>
          <w:pgMar w:top="1191" w:right="1655" w:bottom="1152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314" w:lineRule="auto"/>
        <w:ind w:left="22" w:right="82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根河市重要河流水系作为生态廊道，连接和沟通生态源地和自然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保护地。生态源地实施严格的保护与管理，确保生态系统的完整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性。位于生态极重要区内的农业用地或建设用地，结合整体生态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安全格局实施退耕还林、土地整治、生态修复等方式恢复生态功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能，严格控制开发强度与规模。</w:t>
      </w:r>
    </w:p>
    <w:p>
      <w:pPr>
        <w:pStyle w:val="2"/>
        <w:spacing w:before="46" w:line="316" w:lineRule="auto"/>
        <w:ind w:left="25" w:firstLine="60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将根河市重要河流水系作为生态廊道，连接和</w:t>
      </w:r>
      <w:r>
        <w:rPr>
          <w:spacing w:val="-5"/>
          <w:sz w:val="30"/>
          <w:szCs w:val="30"/>
        </w:rPr>
        <w:t>沟通生态源地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和自然保护地。生态廊道严格实施河长制，禁止工业和生活污水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直接排入河流，采矿活动中加强水资源循环利用，降低水资源消</w:t>
      </w:r>
      <w:r>
        <w:rPr>
          <w:spacing w:val="5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耗，加大对尾矿的处理力度和循环利用，减少对水环境</w:t>
      </w:r>
      <w:r>
        <w:rPr>
          <w:spacing w:val="-12"/>
          <w:sz w:val="30"/>
          <w:szCs w:val="30"/>
        </w:rPr>
        <w:t>的影响等。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重点加强对根河、激流河、金河、乌鲁吉气河、敖鲁古雅河等市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域主要河流两岸林木种植和抚育等生态环境保护、维护和建设的</w:t>
      </w:r>
      <w:r>
        <w:rPr>
          <w:spacing w:val="5"/>
          <w:sz w:val="30"/>
          <w:szCs w:val="30"/>
        </w:rPr>
        <w:t xml:space="preserve"> </w:t>
      </w:r>
      <w:bookmarkStart w:id="67" w:name="bookmark38"/>
      <w:bookmarkEnd w:id="67"/>
      <w:r>
        <w:rPr>
          <w:spacing w:val="-1"/>
          <w:sz w:val="30"/>
          <w:szCs w:val="30"/>
        </w:rPr>
        <w:t>措施，保障生态廊道功能稳定发挥。</w:t>
      </w:r>
    </w:p>
    <w:p>
      <w:pPr>
        <w:spacing w:before="47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6"/>
          <w:sz w:val="30"/>
          <w:szCs w:val="30"/>
        </w:rPr>
        <w:t>（五）落实“双碳”</w:t>
      </w:r>
      <w:r>
        <w:rPr>
          <w:rFonts w:ascii="黑体" w:hAnsi="黑体" w:eastAsia="黑体" w:cs="黑体"/>
          <w:spacing w:val="-86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-6"/>
          <w:sz w:val="30"/>
          <w:szCs w:val="30"/>
        </w:rPr>
        <w:t>目标应对气候变化</w:t>
      </w:r>
    </w:p>
    <w:p>
      <w:pPr>
        <w:pStyle w:val="2"/>
        <w:spacing w:before="159" w:line="315" w:lineRule="auto"/>
        <w:ind w:left="23" w:right="82" w:firstLine="598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增加生态系统碳汇储量。通过造林、退化生态系统恢复、加</w:t>
      </w:r>
      <w:r>
        <w:rPr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强森林可持续管理等措施，增强陆地碳吸收量。持续组织实施天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然林保护、退耕还林等国家重点生态工程，增加森林碳汇。加强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湿地保护和恢复，增强湿地碳汇能力。开展耕地质量保护与提升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行动，推广增施有机肥，增加农田固碳能力。稳步实施全国天然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林碳汇实验区建设，争取在根河建设国家级碳汇经济示范区。</w:t>
      </w:r>
    </w:p>
    <w:p>
      <w:pPr>
        <w:pStyle w:val="2"/>
        <w:spacing w:before="49" w:line="316" w:lineRule="auto"/>
        <w:ind w:left="23" w:right="62" w:firstLine="602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推进应对气候变化知识普及。加强宣传和培训，普及</w:t>
      </w:r>
      <w:r>
        <w:rPr>
          <w:spacing w:val="-5"/>
          <w:sz w:val="30"/>
          <w:szCs w:val="30"/>
        </w:rPr>
        <w:t>双碳背</w:t>
      </w:r>
      <w:r>
        <w:rPr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景下应对气候变化的相关知识。通过政府引导，组织新闻媒体，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大力开展碳汇相关的活动，吸引更多的企业、团体、组织或个人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志愿参与到林业碳汇产业发展的行列中来。有针对性地对管理人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员、技术人员以及媒体机构开展碳汇知识培训，促使培训对象深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入了解林业碳汇相关的理论和方法，推进区域性林业碳汇试点有</w:t>
      </w:r>
      <w:r>
        <w:rPr>
          <w:spacing w:val="8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序开展。</w:t>
      </w:r>
    </w:p>
    <w:p>
      <w:pPr>
        <w:spacing w:line="316" w:lineRule="auto"/>
        <w:rPr>
          <w:sz w:val="30"/>
          <w:szCs w:val="30"/>
        </w:rPr>
        <w:sectPr>
          <w:headerReference r:id="rId57" w:type="default"/>
          <w:footerReference r:id="rId58" w:type="default"/>
          <w:pgSz w:w="11906" w:h="16839"/>
          <w:pgMar w:top="1191" w:right="1716" w:bottom="1152" w:left="1785" w:header="882" w:footer="987" w:gutter="0"/>
          <w:cols w:space="720" w:num="1"/>
        </w:sectPr>
      </w:pPr>
    </w:p>
    <w:p>
      <w:pPr>
        <w:spacing w:line="300" w:lineRule="auto"/>
        <w:rPr>
          <w:rFonts w:ascii="Arial"/>
          <w:sz w:val="21"/>
        </w:rPr>
      </w:pPr>
    </w:p>
    <w:p>
      <w:pPr>
        <w:spacing w:before="101" w:line="218" w:lineRule="auto"/>
        <w:ind w:left="35"/>
        <w:outlineLvl w:val="1"/>
        <w:rPr>
          <w:rFonts w:ascii="黑体" w:hAnsi="黑体" w:eastAsia="黑体" w:cs="黑体"/>
          <w:sz w:val="31"/>
          <w:szCs w:val="31"/>
        </w:rPr>
      </w:pPr>
      <w:bookmarkStart w:id="68" w:name="bookmark40"/>
      <w:bookmarkEnd w:id="68"/>
      <w:bookmarkStart w:id="69" w:name="bookmark42"/>
      <w:bookmarkEnd w:id="69"/>
      <w:r>
        <w:rPr>
          <w:rFonts w:ascii="黑体" w:hAnsi="黑体" w:eastAsia="黑体" w:cs="黑体"/>
          <w:b/>
          <w:bCs/>
          <w:spacing w:val="6"/>
          <w:sz w:val="31"/>
          <w:szCs w:val="31"/>
        </w:rPr>
        <w:t>五、提升治理水平，改善环境质量</w:t>
      </w:r>
    </w:p>
    <w:p>
      <w:pPr>
        <w:spacing w:before="260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4"/>
          <w:sz w:val="30"/>
          <w:szCs w:val="30"/>
        </w:rPr>
        <w:t>（一）维护大气环境质量</w:t>
      </w:r>
    </w:p>
    <w:p>
      <w:pPr>
        <w:pStyle w:val="2"/>
        <w:spacing w:before="161" w:line="214" w:lineRule="auto"/>
        <w:ind w:left="633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8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b/>
          <w:bCs/>
          <w:spacing w:val="-36"/>
          <w:sz w:val="30"/>
          <w:szCs w:val="30"/>
        </w:rPr>
        <w:t xml:space="preserve"> </w:t>
      </w:r>
      <w:r>
        <w:rPr>
          <w:b/>
          <w:bCs/>
          <w:spacing w:val="-8"/>
          <w:sz w:val="30"/>
          <w:szCs w:val="30"/>
        </w:rPr>
        <w:t>、优化调整能源结构</w:t>
      </w:r>
    </w:p>
    <w:p>
      <w:pPr>
        <w:pStyle w:val="2"/>
        <w:spacing w:before="173" w:line="314" w:lineRule="auto"/>
        <w:ind w:left="26" w:right="88" w:firstLine="602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控制煤炭消费总量。严格执行《内蒙古自治区</w:t>
      </w:r>
      <w:r>
        <w:rPr>
          <w:spacing w:val="-5"/>
          <w:sz w:val="30"/>
          <w:szCs w:val="30"/>
        </w:rPr>
        <w:t>碳达峰实施方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案》，逐步减少并严格控制燃煤总量，制定实施冬季清洁取暖实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施方案，优化城市供热结构，推进工业企业余热利用，加快燃煤</w:t>
      </w:r>
      <w:r>
        <w:rPr>
          <w:spacing w:val="4"/>
          <w:sz w:val="30"/>
          <w:szCs w:val="30"/>
        </w:rPr>
        <w:t xml:space="preserve"> </w:t>
      </w:r>
      <w:r>
        <w:rPr>
          <w:spacing w:val="-14"/>
          <w:sz w:val="30"/>
          <w:szCs w:val="30"/>
        </w:rPr>
        <w:t>锅炉和散煤替代，强化气源、电源保障和价格支持，统筹推进</w:t>
      </w:r>
      <w:r>
        <w:rPr>
          <w:spacing w:val="-15"/>
          <w:sz w:val="30"/>
          <w:szCs w:val="30"/>
        </w:rPr>
        <w:t>“煤</w:t>
      </w:r>
      <w:r>
        <w:rPr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改气”</w:t>
      </w:r>
      <w:r>
        <w:rPr>
          <w:spacing w:val="-114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、“煤改电”。</w:t>
      </w:r>
    </w:p>
    <w:p>
      <w:pPr>
        <w:pStyle w:val="2"/>
        <w:spacing w:before="47" w:line="314" w:lineRule="auto"/>
        <w:ind w:left="22" w:right="88" w:firstLine="60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推进清洁能源建设。积极开发利用光伏、天然气、风</w:t>
      </w:r>
      <w:r>
        <w:rPr>
          <w:spacing w:val="-5"/>
          <w:sz w:val="30"/>
          <w:szCs w:val="30"/>
        </w:rPr>
        <w:t>能和太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阳能等清洁能源，系统研究新能源替代方法和路径，推动清洁能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源在根河有效落地及广泛应用。在道路、公园、车站等公共设施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及公益性建筑物照明中推广使用太阳能光伏电源，鼓励建设与建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筑物一体化的屋顶太阳能集热设施。</w:t>
      </w:r>
    </w:p>
    <w:p>
      <w:pPr>
        <w:pStyle w:val="2"/>
        <w:spacing w:before="48" w:line="315" w:lineRule="auto"/>
        <w:ind w:left="29" w:right="60" w:firstLine="59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提高能源利用效率。健全能源计量体系，大力开发、推广节</w:t>
      </w:r>
      <w:r>
        <w:rPr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能高效技术和产品，实现重点用能行业、设备节能标准全覆盖。</w:t>
      </w:r>
      <w:r>
        <w:rPr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改善民用燃料结构，提高燃气在能源消费中的比重，减少居民炉</w:t>
      </w:r>
      <w:r>
        <w:rPr>
          <w:spacing w:val="2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灶排放造成的大气污染。积极推动好里堡新建燃气储配站建设，</w:t>
      </w:r>
      <w:r>
        <w:rPr>
          <w:spacing w:val="1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在规划近期中心城区管道燃气普及率达到</w:t>
      </w:r>
      <w:r>
        <w:rPr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100%</w:t>
      </w:r>
      <w:r>
        <w:rPr>
          <w:rFonts w:ascii="Times New Roman" w:hAnsi="Times New Roman" w:eastAsia="Times New Roman" w:cs="Times New Roman"/>
          <w:spacing w:val="-34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，市</w:t>
      </w:r>
      <w:r>
        <w:rPr>
          <w:spacing w:val="-3"/>
          <w:sz w:val="30"/>
          <w:szCs w:val="30"/>
        </w:rPr>
        <w:t>域各乡镇燃</w:t>
      </w:r>
      <w:r>
        <w:rPr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气普及率达到</w:t>
      </w:r>
      <w:r>
        <w:rPr>
          <w:spacing w:val="-6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60%</w:t>
      </w:r>
      <w:r>
        <w:rPr>
          <w:spacing w:val="-3"/>
          <w:sz w:val="30"/>
          <w:szCs w:val="30"/>
        </w:rPr>
        <w:t>。</w:t>
      </w:r>
    </w:p>
    <w:p>
      <w:pPr>
        <w:pStyle w:val="2"/>
        <w:spacing w:before="49" w:line="216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7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b/>
          <w:bCs/>
          <w:spacing w:val="-34"/>
          <w:sz w:val="30"/>
          <w:szCs w:val="30"/>
        </w:rPr>
        <w:t xml:space="preserve"> </w:t>
      </w:r>
      <w:r>
        <w:rPr>
          <w:b/>
          <w:bCs/>
          <w:spacing w:val="-7"/>
          <w:sz w:val="30"/>
          <w:szCs w:val="30"/>
        </w:rPr>
        <w:t>、深化工业废气治理</w:t>
      </w:r>
    </w:p>
    <w:p>
      <w:pPr>
        <w:pStyle w:val="2"/>
        <w:spacing w:before="166" w:line="315" w:lineRule="auto"/>
        <w:ind w:left="23" w:firstLine="611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开展重点行业企业污染治理。市区实施集中供热，废气进行</w:t>
      </w:r>
      <w:r>
        <w:rPr>
          <w:spacing w:val="14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集中处理，保证烟（粉）尘、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SO</w:t>
      </w:r>
      <w:r>
        <w:rPr>
          <w:rFonts w:ascii="Times New Roman" w:hAnsi="Times New Roman" w:eastAsia="Times New Roman" w:cs="Times New Roman"/>
          <w:spacing w:val="-2"/>
          <w:position w:val="-2"/>
          <w:sz w:val="19"/>
          <w:szCs w:val="19"/>
        </w:rPr>
        <w:t>2</w:t>
      </w:r>
      <w:r>
        <w:rPr>
          <w:rFonts w:ascii="Times New Roman" w:hAnsi="Times New Roman" w:eastAsia="Times New Roman" w:cs="Times New Roman"/>
          <w:spacing w:val="28"/>
          <w:position w:val="-2"/>
          <w:sz w:val="19"/>
          <w:szCs w:val="19"/>
        </w:rPr>
        <w:t xml:space="preserve"> </w:t>
      </w:r>
      <w:r>
        <w:rPr>
          <w:spacing w:val="-2"/>
          <w:sz w:val="30"/>
          <w:szCs w:val="30"/>
        </w:rPr>
        <w:t>等达标排放。建材、供热等行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业企业实现规范管理，按照“场地硬化、流体进库、密闭传输、</w:t>
      </w:r>
      <w:r>
        <w:rPr>
          <w:spacing w:val="12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湿法装卸、车辆冲洗”的标准，实现“空中防扬散、地面防流失、</w:t>
      </w:r>
      <w:r>
        <w:rPr>
          <w:spacing w:val="3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 xml:space="preserve">地下防渗漏”。重点抓好热力生产和供应行业 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 xml:space="preserve">VOCs </w:t>
      </w:r>
      <w:r>
        <w:rPr>
          <w:rFonts w:ascii="Times New Roman" w:hAnsi="Times New Roman" w:eastAsia="Times New Roman" w:cs="Times New Roman"/>
          <w:spacing w:val="-6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排放监管，</w:t>
      </w:r>
      <w:r>
        <w:rPr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 xml:space="preserve">建立一厂一策 </w:t>
      </w:r>
      <w:r>
        <w:rPr>
          <w:rFonts w:ascii="Times New Roman" w:hAnsi="Times New Roman" w:eastAsia="Times New Roman" w:cs="Times New Roman"/>
          <w:sz w:val="30"/>
          <w:szCs w:val="30"/>
        </w:rPr>
        <w:t>VOCs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治理方案，对污染排放进行全过程控制，</w:t>
      </w:r>
    </w:p>
    <w:p>
      <w:pPr>
        <w:spacing w:line="315" w:lineRule="auto"/>
        <w:rPr>
          <w:sz w:val="30"/>
          <w:szCs w:val="30"/>
        </w:rPr>
        <w:sectPr>
          <w:headerReference r:id="rId59" w:type="default"/>
          <w:footerReference r:id="rId60" w:type="default"/>
          <w:pgSz w:w="11906" w:h="16839"/>
          <w:pgMar w:top="1191" w:right="1711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213" w:lineRule="auto"/>
        <w:ind w:left="25"/>
        <w:rPr>
          <w:sz w:val="30"/>
          <w:szCs w:val="30"/>
        </w:rPr>
      </w:pPr>
      <w:r>
        <w:rPr>
          <w:spacing w:val="-1"/>
          <w:sz w:val="30"/>
          <w:szCs w:val="30"/>
        </w:rPr>
        <w:t>加强对重点行业挥发性有机物专项执法检查。</w:t>
      </w:r>
    </w:p>
    <w:p>
      <w:pPr>
        <w:pStyle w:val="2"/>
        <w:spacing w:before="178" w:line="313" w:lineRule="auto"/>
        <w:ind w:left="29" w:right="88" w:firstLine="596"/>
        <w:jc w:val="both"/>
        <w:rPr>
          <w:sz w:val="30"/>
          <w:szCs w:val="30"/>
        </w:rPr>
      </w:pPr>
      <w:r>
        <w:rPr>
          <w:spacing w:val="-2"/>
          <w:sz w:val="30"/>
          <w:szCs w:val="30"/>
        </w:rPr>
        <w:t>加快推进燃煤锅炉和工业窑炉整治。对</w:t>
      </w:r>
      <w:r>
        <w:rPr>
          <w:spacing w:val="-6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35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 xml:space="preserve">-65 </w:t>
      </w:r>
      <w:r>
        <w:rPr>
          <w:spacing w:val="-3"/>
          <w:sz w:val="30"/>
          <w:szCs w:val="30"/>
        </w:rPr>
        <w:t>蒸吨燃煤锅炉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开展超低排放改造，新改用天然气的要同步实现低氮改造，燃气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锅炉实施低氮改造。生物质锅炉替代燃煤锅炉的，需使用专用锅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炉，配套布袋等高效除尘设施，若氮氧化物排放不能达标的需配</w:t>
      </w:r>
      <w:r>
        <w:rPr>
          <w:spacing w:val="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备脱硝设施，使用过程中严禁掺烧煤炭、垃圾等其他物料。</w:t>
      </w:r>
    </w:p>
    <w:p>
      <w:pPr>
        <w:pStyle w:val="2"/>
        <w:spacing w:before="51" w:line="214" w:lineRule="auto"/>
        <w:ind w:left="618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b/>
          <w:bCs/>
          <w:spacing w:val="-37"/>
          <w:sz w:val="30"/>
          <w:szCs w:val="30"/>
        </w:rPr>
        <w:t xml:space="preserve"> </w:t>
      </w:r>
      <w:r>
        <w:rPr>
          <w:b/>
          <w:bCs/>
          <w:spacing w:val="-5"/>
          <w:sz w:val="30"/>
          <w:szCs w:val="30"/>
        </w:rPr>
        <w:t>、严格管控机动车等移动源治理</w:t>
      </w:r>
    </w:p>
    <w:p>
      <w:pPr>
        <w:pStyle w:val="2"/>
        <w:spacing w:before="175" w:line="312" w:lineRule="auto"/>
        <w:ind w:left="23" w:right="88" w:firstLine="596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严格实施国家机动车排放标准。完善新生产机动车环保型式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核准制度，积极普及新能源汽车，提高机动车排放水平。以开展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柴油货车超标排放专项整治为抓手，统筹开展油、路、车治理和</w:t>
      </w:r>
      <w:r>
        <w:rPr>
          <w:spacing w:val="8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机动车污染防治。</w:t>
      </w:r>
    </w:p>
    <w:p>
      <w:pPr>
        <w:pStyle w:val="2"/>
        <w:spacing w:before="55" w:line="313" w:lineRule="auto"/>
        <w:ind w:left="22" w:right="68" w:firstLine="60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加快淘汰老旧车辆，推进老旧柴油车深度治理。完善</w:t>
      </w:r>
      <w:r>
        <w:rPr>
          <w:spacing w:val="-5"/>
          <w:sz w:val="30"/>
          <w:szCs w:val="30"/>
        </w:rPr>
        <w:t>机动车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环境管理制度，加强机动车环保定期检验，实施机动车环保标志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管理，对排放不达标车辆进行专项整治。加快车用燃油清洁化进</w:t>
      </w:r>
      <w:r>
        <w:rPr>
          <w:spacing w:val="9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程，强化车用燃油清洁剂核准管理，加快车用燃油低硫化进程，</w:t>
      </w:r>
      <w:r>
        <w:rPr>
          <w:spacing w:val="1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增加优质车用燃油市场供应。</w:t>
      </w:r>
    </w:p>
    <w:p>
      <w:pPr>
        <w:pStyle w:val="2"/>
        <w:spacing w:before="57" w:line="315" w:lineRule="auto"/>
        <w:ind w:left="23" w:firstLine="596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严查严管超标车辆。按“双随机”模式对物流园、货物集散</w:t>
      </w:r>
      <w:r>
        <w:rPr>
          <w:spacing w:val="3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地、公交场站等重点场所，以及物流货运、工矿企业、长途客运、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环卫、邮政、旅游、维修等重点单位开展入户监督抽测，严查污</w:t>
      </w:r>
      <w:r>
        <w:rPr>
          <w:spacing w:val="8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染控制装置闲置、屏蔽车载诊断系统（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>OBD</w:t>
      </w:r>
      <w:r>
        <w:rPr>
          <w:spacing w:val="-5"/>
          <w:sz w:val="30"/>
          <w:szCs w:val="30"/>
        </w:rPr>
        <w:t>）功能、尾气排放不</w:t>
      </w:r>
      <w:r>
        <w:rPr>
          <w:spacing w:val="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达标等行为。引导用车企业停止使用国三柴油车运输，拒绝冒黑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烟车辆进厂。充分利用遥感监测技术，加强对高排放车辆的监督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抽测，对遥测超标车辆实现“应罚尽罚”。</w:t>
      </w:r>
    </w:p>
    <w:p>
      <w:pPr>
        <w:pStyle w:val="2"/>
        <w:spacing w:before="52" w:line="214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7"/>
          <w:sz w:val="30"/>
          <w:szCs w:val="30"/>
        </w:rPr>
        <w:t>4</w:t>
      </w:r>
      <w:r>
        <w:rPr>
          <w:rFonts w:ascii="Times New Roman" w:hAnsi="Times New Roman" w:eastAsia="Times New Roman" w:cs="Times New Roman"/>
          <w:b/>
          <w:bCs/>
          <w:spacing w:val="-34"/>
          <w:sz w:val="30"/>
          <w:szCs w:val="30"/>
        </w:rPr>
        <w:t xml:space="preserve"> </w:t>
      </w:r>
      <w:r>
        <w:rPr>
          <w:b/>
          <w:bCs/>
          <w:spacing w:val="-7"/>
          <w:sz w:val="30"/>
          <w:szCs w:val="30"/>
        </w:rPr>
        <w:t>、强化扬尘污染治理</w:t>
      </w:r>
    </w:p>
    <w:p>
      <w:pPr>
        <w:pStyle w:val="2"/>
        <w:spacing w:before="171" w:line="305" w:lineRule="auto"/>
        <w:ind w:left="33" w:right="55" w:firstLine="591"/>
        <w:rPr>
          <w:sz w:val="30"/>
          <w:szCs w:val="30"/>
        </w:rPr>
      </w:pPr>
      <w:r>
        <w:rPr>
          <w:spacing w:val="1"/>
          <w:sz w:val="30"/>
          <w:szCs w:val="30"/>
        </w:rPr>
        <w:t>加强矿区及扬尘综合整治。推进绿色矿山建设，到</w:t>
      </w:r>
      <w:r>
        <w:rPr>
          <w:spacing w:val="-6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2025 </w:t>
      </w:r>
      <w:r>
        <w:rPr>
          <w:spacing w:val="1"/>
          <w:sz w:val="30"/>
          <w:szCs w:val="30"/>
        </w:rPr>
        <w:t>年</w:t>
      </w:r>
      <w:r>
        <w:rPr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前，在期生产矿山全部达到绿色矿山建设标准。强化矿山开采、</w:t>
      </w:r>
    </w:p>
    <w:p>
      <w:pPr>
        <w:spacing w:line="305" w:lineRule="auto"/>
        <w:rPr>
          <w:sz w:val="30"/>
          <w:szCs w:val="30"/>
        </w:rPr>
        <w:sectPr>
          <w:footerReference r:id="rId61" w:type="default"/>
          <w:pgSz w:w="11906" w:h="16839"/>
          <w:pgMar w:top="1191" w:right="1711" w:bottom="1152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307" w:lineRule="auto"/>
        <w:ind w:left="20" w:right="226"/>
        <w:rPr>
          <w:sz w:val="30"/>
          <w:szCs w:val="30"/>
        </w:rPr>
      </w:pPr>
      <w:r>
        <w:rPr>
          <w:spacing w:val="-4"/>
          <w:sz w:val="30"/>
          <w:szCs w:val="30"/>
        </w:rPr>
        <w:t>储存、装卸、运输过程污染防治，对污染环境、破坏生态的矿山</w:t>
      </w:r>
      <w:r>
        <w:rPr>
          <w:spacing w:val="11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依法予以关闭。</w:t>
      </w:r>
    </w:p>
    <w:p>
      <w:pPr>
        <w:pStyle w:val="2"/>
        <w:spacing w:before="47" w:line="314" w:lineRule="auto"/>
        <w:ind w:left="26" w:right="193" w:firstLine="617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强化道路和施工扬尘监管。各类施工工地严格落实工地周边</w:t>
      </w:r>
      <w:r>
        <w:rPr>
          <w:spacing w:val="4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围挡、物料（渣土）堆放覆盖、土方开挖湿法作业、路面硬化、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出入车辆清洗、渣土车辆密闭运输“六个百分之百”污染防控措</w:t>
      </w:r>
      <w:r>
        <w:rPr>
          <w:spacing w:val="4"/>
          <w:sz w:val="30"/>
          <w:szCs w:val="30"/>
        </w:rPr>
        <w:t xml:space="preserve"> </w:t>
      </w:r>
      <w:r>
        <w:rPr>
          <w:spacing w:val="-7"/>
          <w:sz w:val="30"/>
          <w:szCs w:val="30"/>
        </w:rPr>
        <w:t>施。</w:t>
      </w:r>
    </w:p>
    <w:p>
      <w:pPr>
        <w:pStyle w:val="2"/>
        <w:spacing w:before="33" w:line="313" w:lineRule="auto"/>
        <w:ind w:left="30" w:right="226" w:firstLine="614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强化渣土运输管理。实施专项整治行动，制定出台渣土综合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整治专项实施方案，实行专用车辆、运输路线、堆放点位等</w:t>
      </w:r>
      <w:r>
        <w:rPr>
          <w:spacing w:val="-5"/>
          <w:sz w:val="30"/>
          <w:szCs w:val="30"/>
        </w:rPr>
        <w:t>闭环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式管理，全面落实渣土源头监管全覆盖、运输车辆全密闭，实现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渣土运输企业和车辆的规范化。</w:t>
      </w:r>
    </w:p>
    <w:p>
      <w:pPr>
        <w:pStyle w:val="2"/>
        <w:spacing w:before="48" w:line="213" w:lineRule="auto"/>
        <w:ind w:left="624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5</w:t>
      </w:r>
      <w:r>
        <w:rPr>
          <w:rFonts w:ascii="Times New Roman" w:hAnsi="Times New Roman" w:eastAsia="Times New Roman" w:cs="Times New Roman"/>
          <w:b/>
          <w:bCs/>
          <w:spacing w:val="-39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、严格新建项目环境准入</w:t>
      </w:r>
    </w:p>
    <w:p>
      <w:pPr>
        <w:pStyle w:val="2"/>
        <w:spacing w:before="171" w:line="315" w:lineRule="auto"/>
        <w:ind w:left="18" w:right="226" w:firstLine="601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严格落实生态环境分区管控要求，落实生态环境准入清单的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要求，禁止新建、扩建高污染工业项目。市政府应当定期参考新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建、扩建高污染工业项目名录、高污染工业行业调整名录和高污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染工艺设备淘汰名录，对全市进行统一管理和审批，按照污染者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担责和“谁污染、谁治理、谁付费”的原则，确定并公布排污费</w:t>
      </w:r>
      <w:r>
        <w:rPr>
          <w:spacing w:val="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征收事项和征收标准。</w:t>
      </w:r>
    </w:p>
    <w:p>
      <w:pPr>
        <w:spacing w:before="50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（二）进一步提升水环境质量</w:t>
      </w:r>
    </w:p>
    <w:p>
      <w:pPr>
        <w:pStyle w:val="2"/>
        <w:spacing w:before="158" w:line="214" w:lineRule="auto"/>
        <w:ind w:left="633"/>
        <w:rPr>
          <w:sz w:val="30"/>
          <w:szCs w:val="30"/>
        </w:rPr>
      </w:pPr>
      <w:bookmarkStart w:id="70" w:name="bookmark44"/>
      <w:bookmarkEnd w:id="70"/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b/>
          <w:bCs/>
          <w:spacing w:val="-32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、进一步强化河湖水生态保护修复</w:t>
      </w:r>
    </w:p>
    <w:p>
      <w:pPr>
        <w:pStyle w:val="2"/>
        <w:spacing w:before="168" w:line="316" w:lineRule="auto"/>
        <w:ind w:left="24" w:firstLine="620"/>
        <w:rPr>
          <w:sz w:val="30"/>
          <w:szCs w:val="30"/>
        </w:rPr>
      </w:pPr>
      <w:r>
        <w:rPr>
          <w:spacing w:val="-9"/>
          <w:sz w:val="30"/>
          <w:szCs w:val="30"/>
        </w:rPr>
        <w:t>强化河长制。根河市河流众多，水资源丰沛，全市各级河长、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各河长制责任部门要准确把握自身职能定位，将保护河流水生态</w:t>
      </w:r>
      <w:r>
        <w:rPr>
          <w:spacing w:val="3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环境、落实河长制提升到政治任务高度来抓。各乡镇、办事处要</w:t>
      </w:r>
      <w:r>
        <w:rPr>
          <w:spacing w:val="3"/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完善河长动态调整机制和河长责任递补机制，确保责任</w:t>
      </w:r>
      <w:r>
        <w:rPr>
          <w:sz w:val="30"/>
          <w:szCs w:val="30"/>
        </w:rPr>
        <w:t xml:space="preserve">不脱节、 </w:t>
      </w:r>
      <w:r>
        <w:rPr>
          <w:spacing w:val="-4"/>
          <w:sz w:val="30"/>
          <w:szCs w:val="30"/>
        </w:rPr>
        <w:t>任务不断档。加强宣传培训，各乡镇、办事处要侧重选派新上任</w:t>
      </w:r>
      <w:r>
        <w:rPr>
          <w:spacing w:val="3"/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河长参加上级及本级组织的培训，快速提升新到岗河长</w:t>
      </w:r>
      <w:r>
        <w:rPr>
          <w:spacing w:val="-7"/>
          <w:sz w:val="30"/>
          <w:szCs w:val="30"/>
        </w:rPr>
        <w:t>履职能力，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确保尽快由“有名”</w:t>
      </w:r>
      <w:r>
        <w:rPr>
          <w:spacing w:val="-9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向“有能”转变。</w:t>
      </w:r>
    </w:p>
    <w:p>
      <w:pPr>
        <w:spacing w:line="316" w:lineRule="auto"/>
        <w:rPr>
          <w:sz w:val="30"/>
          <w:szCs w:val="30"/>
        </w:rPr>
        <w:sectPr>
          <w:headerReference r:id="rId62" w:type="default"/>
          <w:footerReference r:id="rId63" w:type="default"/>
          <w:pgSz w:w="11906" w:h="16839"/>
          <w:pgMar w:top="1191" w:right="1572" w:bottom="1152" w:left="1785" w:header="882" w:footer="987" w:gutter="0"/>
          <w:cols w:space="720" w:num="1"/>
        </w:sectPr>
      </w:pPr>
    </w:p>
    <w:p>
      <w:pPr>
        <w:spacing w:line="317" w:lineRule="auto"/>
        <w:rPr>
          <w:rFonts w:ascii="Arial"/>
          <w:sz w:val="21"/>
        </w:rPr>
      </w:pPr>
    </w:p>
    <w:p>
      <w:pPr>
        <w:pStyle w:val="2"/>
        <w:spacing w:before="98" w:line="317" w:lineRule="auto"/>
        <w:ind w:left="22" w:firstLine="597"/>
        <w:rPr>
          <w:sz w:val="30"/>
          <w:szCs w:val="30"/>
        </w:rPr>
      </w:pPr>
      <w:r>
        <w:rPr>
          <w:spacing w:val="-8"/>
          <w:sz w:val="30"/>
          <w:szCs w:val="30"/>
        </w:rPr>
        <w:t>严格水域岸线空间管控。各级河长、各责任部门按照水利部、</w:t>
      </w:r>
      <w:r>
        <w:rPr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自治区以及呼伦贝尔市河长办关于加强河湖水域岸线空间管控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的相关要求，明确河湖水域岸线空间管控边界，严格岸线用途管</w:t>
      </w:r>
      <w:r>
        <w:rPr>
          <w:spacing w:val="4"/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控规范处置涉水违建，推进岸线生态修复，强化岸线</w:t>
      </w:r>
      <w:r>
        <w:rPr>
          <w:sz w:val="30"/>
          <w:szCs w:val="30"/>
        </w:rPr>
        <w:t xml:space="preserve">监管能力。 </w:t>
      </w:r>
      <w:r>
        <w:rPr>
          <w:spacing w:val="-4"/>
          <w:sz w:val="30"/>
          <w:szCs w:val="30"/>
        </w:rPr>
        <w:t>纵深推进“清四乱”常态化规范化，强化岸线规划的前置约束属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性。各乡镇、办事处、各部门在推进落实乡村振兴各项工作和水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利工程建设的选址、手续办理过程中，严格履行水行政相关审批</w:t>
      </w:r>
      <w:r>
        <w:rPr>
          <w:spacing w:val="4"/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程序，确保项目的建设、运行合法合规，更好的助力</w:t>
      </w:r>
      <w:r>
        <w:rPr>
          <w:sz w:val="30"/>
          <w:szCs w:val="30"/>
        </w:rPr>
        <w:t xml:space="preserve">乡村振兴。 </w:t>
      </w:r>
      <w:r>
        <w:rPr>
          <w:spacing w:val="3"/>
          <w:sz w:val="30"/>
          <w:szCs w:val="30"/>
        </w:rPr>
        <w:t>规范河道采砂，坚守规划底线，抓好河道采砂监管“</w:t>
      </w:r>
      <w:r>
        <w:rPr>
          <w:spacing w:val="-99"/>
          <w:sz w:val="30"/>
          <w:szCs w:val="30"/>
        </w:rPr>
        <w:t xml:space="preserve"> </w:t>
      </w:r>
      <w:r>
        <w:rPr>
          <w:spacing w:val="3"/>
          <w:sz w:val="30"/>
          <w:szCs w:val="30"/>
        </w:rPr>
        <w:t>四个机制”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的落实，按水利部和自治区要求推行河道采砂许可电子证照和河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道砂石采运管理单制度。同时，对非法采砂及以清淤疏浚为名进</w:t>
      </w:r>
      <w:r>
        <w:rPr>
          <w:spacing w:val="4"/>
          <w:sz w:val="30"/>
          <w:szCs w:val="30"/>
        </w:rPr>
        <w:t xml:space="preserve">  </w:t>
      </w:r>
      <w:r>
        <w:rPr>
          <w:spacing w:val="-1"/>
          <w:sz w:val="30"/>
          <w:szCs w:val="30"/>
        </w:rPr>
        <w:t>行采砂的行为予以严厉打击，确保全市河道采砂有序、可控。</w:t>
      </w:r>
    </w:p>
    <w:p>
      <w:pPr>
        <w:pStyle w:val="2"/>
        <w:spacing w:before="48" w:line="314" w:lineRule="auto"/>
        <w:ind w:left="21" w:right="238" w:firstLine="603"/>
        <w:rPr>
          <w:sz w:val="30"/>
          <w:szCs w:val="30"/>
        </w:rPr>
      </w:pPr>
      <w:r>
        <w:rPr>
          <w:spacing w:val="-4"/>
          <w:sz w:val="30"/>
          <w:szCs w:val="30"/>
        </w:rPr>
        <w:t>全面开展河流健康评价。在对根河第一次全国水利普查</w:t>
      </w:r>
      <w:r>
        <w:rPr>
          <w:spacing w:val="-5"/>
          <w:sz w:val="30"/>
          <w:szCs w:val="30"/>
        </w:rPr>
        <w:t>河湖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名录内的河流进行梳理甄别，核查剔除无人区、交通特别不便以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及监测设施不完善、监测数据无法获取的河流基础上，分批逐步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开展河流健康评价，规划期内各级应完成的河流健康评价数量达</w:t>
      </w:r>
      <w:r>
        <w:rPr>
          <w:spacing w:val="10"/>
          <w:sz w:val="30"/>
          <w:szCs w:val="30"/>
        </w:rPr>
        <w:t xml:space="preserve"> </w:t>
      </w:r>
      <w:r>
        <w:rPr>
          <w:spacing w:val="-7"/>
          <w:sz w:val="30"/>
          <w:szCs w:val="30"/>
        </w:rPr>
        <w:t>到</w:t>
      </w:r>
      <w:r>
        <w:rPr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30"/>
          <w:szCs w:val="30"/>
        </w:rPr>
        <w:t>100%</w:t>
      </w:r>
      <w:r>
        <w:rPr>
          <w:spacing w:val="-7"/>
          <w:sz w:val="30"/>
          <w:szCs w:val="30"/>
        </w:rPr>
        <w:t>。</w:t>
      </w:r>
    </w:p>
    <w:p>
      <w:pPr>
        <w:pStyle w:val="2"/>
        <w:spacing w:before="47" w:line="314" w:lineRule="auto"/>
        <w:ind w:left="22" w:right="162" w:firstLine="612"/>
        <w:jc w:val="both"/>
        <w:rPr>
          <w:sz w:val="30"/>
          <w:szCs w:val="30"/>
        </w:rPr>
      </w:pPr>
      <w:r>
        <w:rPr>
          <w:spacing w:val="-13"/>
          <w:sz w:val="30"/>
          <w:szCs w:val="30"/>
        </w:rPr>
        <w:t>开展水生态保护修复。开展根河、潮查河城市河段清淤工程，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促进河道水生态系统恢复。建设河道护岸工程，开展河道人工湿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地建设，实施主城区生态湿地公园等工程，有效改善河岸生态系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统，增强河道自净能力和生态稳定性，提高生态系统功能和水生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生物多样性，主要河流实现“有鱼有草”。</w:t>
      </w:r>
    </w:p>
    <w:p>
      <w:pPr>
        <w:pStyle w:val="2"/>
        <w:spacing w:before="51" w:line="214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b/>
          <w:bCs/>
          <w:spacing w:val="-40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、加强饮用水源地保护</w:t>
      </w:r>
    </w:p>
    <w:p>
      <w:pPr>
        <w:pStyle w:val="2"/>
        <w:spacing w:before="174" w:line="309" w:lineRule="auto"/>
        <w:ind w:left="29" w:right="11" w:firstLine="596"/>
        <w:jc w:val="both"/>
        <w:rPr>
          <w:sz w:val="30"/>
          <w:szCs w:val="30"/>
        </w:rPr>
      </w:pPr>
      <w:r>
        <w:rPr>
          <w:spacing w:val="-7"/>
          <w:sz w:val="30"/>
          <w:szCs w:val="30"/>
        </w:rPr>
        <w:t>加强饮用水水源地规范化建设。合理规划布局饮用水水源地，</w:t>
      </w:r>
      <w:r>
        <w:rPr>
          <w:spacing w:val="9"/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持续开展饮用水水源地安全保障达标建设和规范化建设，落实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“划定”“立标”“治理”三项重点任务，提高饮用水水源环境</w:t>
      </w:r>
    </w:p>
    <w:p>
      <w:pPr>
        <w:spacing w:line="309" w:lineRule="auto"/>
        <w:rPr>
          <w:sz w:val="30"/>
          <w:szCs w:val="30"/>
        </w:rPr>
        <w:sectPr>
          <w:headerReference r:id="rId64" w:type="default"/>
          <w:footerReference r:id="rId65" w:type="default"/>
          <w:pgSz w:w="11906" w:h="16839"/>
          <w:pgMar w:top="1191" w:right="1560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305" w:lineRule="auto"/>
        <w:ind w:left="23" w:right="82" w:firstLine="9"/>
        <w:rPr>
          <w:sz w:val="30"/>
          <w:szCs w:val="30"/>
        </w:rPr>
      </w:pPr>
      <w:r>
        <w:rPr>
          <w:spacing w:val="-4"/>
          <w:sz w:val="30"/>
          <w:szCs w:val="30"/>
        </w:rPr>
        <w:t>安全保障水平。根据水源条件和需要，建设应急备用饮用水</w:t>
      </w:r>
      <w:r>
        <w:rPr>
          <w:spacing w:val="-5"/>
          <w:sz w:val="30"/>
          <w:szCs w:val="30"/>
        </w:rPr>
        <w:t>水源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地，推进城市应急（备用）水源工程建设。</w:t>
      </w:r>
    </w:p>
    <w:p>
      <w:pPr>
        <w:pStyle w:val="2"/>
        <w:spacing w:before="45" w:line="316" w:lineRule="auto"/>
        <w:ind w:left="22" w:right="55" w:firstLine="622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强化饮用水源保护区污染治理。严格执行国家《饮用水水源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保护区污染防治管理规定》，保护城镇集中式饮用水源的水体及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上游地区的生态环境，加大对点源污染的治理力度，重视重点河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流流域及周边水源地启动生活污水、人尿粪、畜养废水和动物尿</w:t>
      </w:r>
      <w:r>
        <w:rPr>
          <w:spacing w:val="9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粪的集中处理，确保饮用水源地水质稳定达标，保障供水安全。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以建制镇为重点，加快乡镇集中式合格饮用水源保护区建设，改</w:t>
      </w:r>
      <w:r>
        <w:rPr>
          <w:spacing w:val="9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善饮用水源水质。</w:t>
      </w:r>
    </w:p>
    <w:p>
      <w:pPr>
        <w:pStyle w:val="2"/>
        <w:spacing w:before="49" w:line="315" w:lineRule="auto"/>
        <w:ind w:left="22" w:firstLine="603"/>
        <w:jc w:val="both"/>
        <w:rPr>
          <w:sz w:val="30"/>
          <w:szCs w:val="30"/>
        </w:rPr>
      </w:pPr>
      <w:r>
        <w:rPr>
          <w:spacing w:val="-1"/>
          <w:sz w:val="30"/>
          <w:szCs w:val="30"/>
        </w:rPr>
        <w:t>加强饮用水水源地监管。开展饮用水水源地环境状况评估，</w:t>
      </w:r>
      <w:r>
        <w:rPr>
          <w:spacing w:val="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组织开展水源地常规监测，严格执行饮用水水源水质监测制度，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持续开展集中式饮用水水源地环境风险排查。加大饮用水安全状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况信息公开力度，通过政府门户网站等网络平台向社会公开饮用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水安全状况信息，引导公众监督。制定应急预案，着力提升应急</w:t>
      </w:r>
      <w:r>
        <w:rPr>
          <w:spacing w:val="9"/>
          <w:sz w:val="30"/>
          <w:szCs w:val="30"/>
        </w:rPr>
        <w:t xml:space="preserve"> </w:t>
      </w:r>
      <w:r>
        <w:rPr>
          <w:spacing w:val="-8"/>
          <w:sz w:val="30"/>
          <w:szCs w:val="30"/>
        </w:rPr>
        <w:t>保障能力。规划期内，集中式饮用水水源水质达标率保持</w:t>
      </w:r>
      <w:r>
        <w:rPr>
          <w:spacing w:val="-3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8"/>
          <w:sz w:val="30"/>
          <w:szCs w:val="30"/>
        </w:rPr>
        <w:t>100%</w:t>
      </w:r>
      <w:r>
        <w:rPr>
          <w:spacing w:val="-8"/>
          <w:sz w:val="30"/>
          <w:szCs w:val="30"/>
        </w:rPr>
        <w:t>。</w:t>
      </w:r>
    </w:p>
    <w:p>
      <w:pPr>
        <w:pStyle w:val="2"/>
        <w:spacing w:before="48" w:line="214" w:lineRule="auto"/>
        <w:ind w:left="618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b/>
          <w:bCs/>
          <w:spacing w:val="-27"/>
          <w:sz w:val="30"/>
          <w:szCs w:val="30"/>
        </w:rPr>
        <w:t xml:space="preserve"> </w:t>
      </w:r>
      <w:r>
        <w:rPr>
          <w:b/>
          <w:bCs/>
          <w:spacing w:val="-5"/>
          <w:sz w:val="30"/>
          <w:szCs w:val="30"/>
        </w:rPr>
        <w:t>、推进重点流域水功能区污染综合治理</w:t>
      </w:r>
    </w:p>
    <w:p>
      <w:pPr>
        <w:pStyle w:val="2"/>
        <w:spacing w:before="168" w:line="316" w:lineRule="auto"/>
        <w:ind w:left="25" w:right="49" w:firstLine="615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实施重点流域入河排污口排查整治全覆盖。持续开展根河、</w:t>
      </w:r>
      <w:r>
        <w:rPr>
          <w:spacing w:val="15"/>
          <w:sz w:val="30"/>
          <w:szCs w:val="30"/>
        </w:rPr>
        <w:t xml:space="preserve"> </w:t>
      </w:r>
      <w:r>
        <w:rPr>
          <w:spacing w:val="4"/>
          <w:sz w:val="30"/>
          <w:szCs w:val="30"/>
        </w:rPr>
        <w:t>激流河等重点流域如何排污口排查，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 xml:space="preserve">2025 </w:t>
      </w:r>
      <w:r>
        <w:rPr>
          <w:spacing w:val="4"/>
          <w:sz w:val="30"/>
          <w:szCs w:val="30"/>
        </w:rPr>
        <w:t>年底前，完</w:t>
      </w:r>
      <w:r>
        <w:rPr>
          <w:spacing w:val="3"/>
          <w:sz w:val="30"/>
          <w:szCs w:val="30"/>
        </w:rPr>
        <w:t>成重点流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域范围内所有排污口排查，规划期内完成重点流域干流及重要支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流、重点湖泊排污口整治。按照“取缔一批、规范一批、合并一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批”工作原则，分类推进入河排污口规范整治，有效管控入河排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污量。依托排污许可证信息，建立“水体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-</w:t>
      </w:r>
      <w:r>
        <w:rPr>
          <w:spacing w:val="-4"/>
          <w:sz w:val="30"/>
          <w:szCs w:val="30"/>
        </w:rPr>
        <w:t>入河排污口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-</w:t>
      </w:r>
      <w:r>
        <w:rPr>
          <w:spacing w:val="-4"/>
          <w:sz w:val="30"/>
          <w:szCs w:val="30"/>
        </w:rPr>
        <w:t>排污管线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-</w:t>
      </w:r>
      <w:r>
        <w:rPr>
          <w:rFonts w:ascii="Times New Roman" w:hAnsi="Times New Roman" w:eastAsia="Times New Roman" w:cs="Times New Roman"/>
          <w:spacing w:val="13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污染源”全链条管理的水污染物排放治理体系。</w:t>
      </w:r>
    </w:p>
    <w:p>
      <w:pPr>
        <w:pStyle w:val="2"/>
        <w:spacing w:before="52" w:line="309" w:lineRule="auto"/>
        <w:ind w:left="25" w:firstLine="60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持续推进工业污染防治。严格执行排污许可制</w:t>
      </w:r>
      <w:r>
        <w:rPr>
          <w:spacing w:val="-5"/>
          <w:sz w:val="30"/>
          <w:szCs w:val="30"/>
        </w:rPr>
        <w:t>度、环境准入</w:t>
      </w:r>
      <w:r>
        <w:rPr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制度，实行企业自行监测制度，加强固定污染源“一证</w:t>
      </w:r>
      <w:r>
        <w:rPr>
          <w:spacing w:val="-12"/>
          <w:sz w:val="30"/>
          <w:szCs w:val="30"/>
        </w:rPr>
        <w:t>式”监管。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推动重点行业绿色发展，加大对铅锌采选、食品加工、木材加工</w:t>
      </w:r>
    </w:p>
    <w:p>
      <w:pPr>
        <w:spacing w:line="309" w:lineRule="auto"/>
        <w:rPr>
          <w:sz w:val="30"/>
          <w:szCs w:val="30"/>
        </w:rPr>
        <w:sectPr>
          <w:headerReference r:id="rId66" w:type="default"/>
          <w:footerReference r:id="rId67" w:type="default"/>
          <w:pgSz w:w="11906" w:h="16839"/>
          <w:pgMar w:top="1191" w:right="1716" w:bottom="1152" w:left="1785" w:header="882" w:footer="987" w:gutter="0"/>
          <w:cols w:space="720" w:num="1"/>
        </w:sectPr>
      </w:pPr>
    </w:p>
    <w:p>
      <w:pPr>
        <w:spacing w:line="309" w:lineRule="auto"/>
        <w:rPr>
          <w:rFonts w:ascii="Arial"/>
          <w:sz w:val="21"/>
        </w:rPr>
      </w:pPr>
    </w:p>
    <w:p>
      <w:pPr>
        <w:pStyle w:val="2"/>
        <w:spacing w:before="98" w:line="312" w:lineRule="auto"/>
        <w:ind w:left="35" w:right="88" w:firstLine="4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等行业污染治理力度。推进行业节水，新、改扩建项目优先利用</w:t>
      </w:r>
      <w:r>
        <w:rPr>
          <w:spacing w:val="1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污水处理厂再生水。实现工业企业污水稳定达标排放全</w:t>
      </w:r>
      <w:r>
        <w:rPr>
          <w:spacing w:val="-5"/>
          <w:sz w:val="30"/>
          <w:szCs w:val="30"/>
        </w:rPr>
        <w:t>覆盖。加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大环境监管力度，开展重点行业企业专项环境执法强化</w:t>
      </w:r>
      <w:r>
        <w:rPr>
          <w:spacing w:val="-5"/>
          <w:sz w:val="30"/>
          <w:szCs w:val="30"/>
        </w:rPr>
        <w:t>直排企业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监管，坚决打击违法排污行为。</w:t>
      </w:r>
    </w:p>
    <w:p>
      <w:pPr>
        <w:pStyle w:val="2"/>
        <w:spacing w:before="51" w:line="214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4</w:t>
      </w:r>
      <w:r>
        <w:rPr>
          <w:rFonts w:ascii="Times New Roman" w:hAnsi="Times New Roman" w:eastAsia="Times New Roman" w:cs="Times New Roman"/>
          <w:b/>
          <w:bCs/>
          <w:spacing w:val="-36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、深化畜禽养殖污染防治</w:t>
      </w:r>
    </w:p>
    <w:p>
      <w:pPr>
        <w:pStyle w:val="2"/>
        <w:spacing w:before="168" w:line="316" w:lineRule="auto"/>
        <w:ind w:left="25" w:firstLine="600"/>
        <w:jc w:val="both"/>
        <w:rPr>
          <w:sz w:val="30"/>
          <w:szCs w:val="30"/>
        </w:rPr>
      </w:pPr>
      <w:r>
        <w:rPr>
          <w:spacing w:val="-1"/>
          <w:sz w:val="30"/>
          <w:szCs w:val="30"/>
        </w:rPr>
        <w:t>推广清洁养殖方式。依据《根河市畜禽养殖污染防治规划》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落实根河市畜禽养殖禁养区划定方案。构建区域种养平衡生态循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环体系，以提升农田地力，增加土壤有机质为出发点，统筹规划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种养殖业发展。积极推进清洁化养殖生产和生态化产业模式，合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理规划养殖业空间布局，发展健康养殖方式，带动养殖业绿色可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持续发展。推广节水、节料等清洁养殖工艺和干清粪、微生物发</w:t>
      </w:r>
      <w:r>
        <w:rPr>
          <w:spacing w:val="5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酵等实用技术，实现源头减量。</w:t>
      </w:r>
    </w:p>
    <w:p>
      <w:pPr>
        <w:pStyle w:val="2"/>
        <w:spacing w:before="49" w:line="310" w:lineRule="auto"/>
        <w:ind w:left="17" w:right="68" w:firstLine="608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加强养殖污染管控。以规模以下养殖污染治理为重点</w:t>
      </w:r>
      <w:r>
        <w:rPr>
          <w:spacing w:val="-5"/>
          <w:sz w:val="30"/>
          <w:szCs w:val="30"/>
        </w:rPr>
        <w:t>，逐步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推进“户收集、村转运、镇处理”</w:t>
      </w:r>
      <w:r>
        <w:rPr>
          <w:spacing w:val="-1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的畜禽粪污资源化利</w:t>
      </w:r>
      <w:r>
        <w:rPr>
          <w:spacing w:val="-5"/>
          <w:sz w:val="30"/>
          <w:szCs w:val="30"/>
        </w:rPr>
        <w:t>用模式，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形成长效机制，提高畜禽粪便综合利用水平。</w:t>
      </w:r>
    </w:p>
    <w:p>
      <w:pPr>
        <w:pStyle w:val="2"/>
        <w:spacing w:before="47" w:line="214" w:lineRule="auto"/>
        <w:ind w:left="624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5</w:t>
      </w:r>
      <w:r>
        <w:rPr>
          <w:rFonts w:ascii="Times New Roman" w:hAnsi="Times New Roman" w:eastAsia="Times New Roman" w:cs="Times New Roman"/>
          <w:b/>
          <w:bCs/>
          <w:spacing w:val="-31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、加大黑臭水体监管防治力度</w:t>
      </w:r>
    </w:p>
    <w:p>
      <w:pPr>
        <w:pStyle w:val="2"/>
        <w:spacing w:before="174" w:line="312" w:lineRule="auto"/>
        <w:ind w:left="18" w:right="88" w:firstLine="606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加强对城市水体的监管，强化污染物入河管控，加强</w:t>
      </w:r>
      <w:r>
        <w:rPr>
          <w:spacing w:val="-5"/>
          <w:sz w:val="30"/>
          <w:szCs w:val="30"/>
        </w:rPr>
        <w:t>重要水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体水生态保护，保持水体自净能力，适当对部分河流进行人工干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预，避免水质发生持续性恶化，持续严防城市建成区水体黑臭化</w:t>
      </w:r>
      <w:r>
        <w:rPr>
          <w:spacing w:val="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可能，保持全市黑臭水体“零”记录。</w:t>
      </w:r>
    </w:p>
    <w:p>
      <w:pPr>
        <w:pStyle w:val="2"/>
        <w:spacing w:before="52" w:line="213" w:lineRule="auto"/>
        <w:ind w:left="625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6</w:t>
      </w:r>
      <w:r>
        <w:rPr>
          <w:rFonts w:ascii="Times New Roman" w:hAnsi="Times New Roman" w:eastAsia="Times New Roman" w:cs="Times New Roman"/>
          <w:b/>
          <w:bCs/>
          <w:spacing w:val="-37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、加强地下水生态环境保护</w:t>
      </w:r>
    </w:p>
    <w:p>
      <w:pPr>
        <w:pStyle w:val="2"/>
        <w:spacing w:before="171" w:line="314" w:lineRule="auto"/>
        <w:ind w:left="26" w:right="88" w:firstLine="596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建立部门协调机制。加强各部门的沟通和协调，进行数据整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合，明确各部门在地下水环境管理中的职责，对各项政策落实情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况进行指导、监督、检查，研究解决地下水污染防治工作中的重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大问题，逐步建立地下水环境管理体系。制定地下水污染防治实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施方案，落实地下水污染状况调查、监测、评估、风险防控、修</w:t>
      </w:r>
    </w:p>
    <w:p>
      <w:pPr>
        <w:spacing w:line="314" w:lineRule="auto"/>
        <w:rPr>
          <w:sz w:val="30"/>
          <w:szCs w:val="30"/>
        </w:rPr>
        <w:sectPr>
          <w:headerReference r:id="rId68" w:type="default"/>
          <w:footerReference r:id="rId69" w:type="default"/>
          <w:pgSz w:w="11906" w:h="16839"/>
          <w:pgMar w:top="1191" w:right="1710" w:bottom="1152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310" w:lineRule="auto"/>
        <w:ind w:left="25" w:firstLine="14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复等地下水污染防治主体责任，逐步实现地</w:t>
      </w:r>
      <w:r>
        <w:rPr>
          <w:spacing w:val="-5"/>
          <w:sz w:val="30"/>
          <w:szCs w:val="30"/>
        </w:rPr>
        <w:t>下水污染防治全面监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管，坚持综合施策，推进地下水污染防治。配合上级管理部门建</w:t>
      </w:r>
      <w:r>
        <w:rPr>
          <w:spacing w:val="2"/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设地下水生态环境监测网，建立部门间地下水环境信息共享机制。</w:t>
      </w:r>
    </w:p>
    <w:p>
      <w:pPr>
        <w:pStyle w:val="2"/>
        <w:spacing w:before="48" w:line="315" w:lineRule="auto"/>
        <w:ind w:left="29" w:right="158" w:firstLine="596"/>
        <w:rPr>
          <w:sz w:val="30"/>
          <w:szCs w:val="30"/>
        </w:rPr>
      </w:pPr>
      <w:r>
        <w:rPr>
          <w:spacing w:val="-4"/>
          <w:sz w:val="30"/>
          <w:szCs w:val="30"/>
        </w:rPr>
        <w:t>推动地下水污染防治分区管理。构建地下水污染防治</w:t>
      </w:r>
      <w:r>
        <w:rPr>
          <w:spacing w:val="-5"/>
          <w:sz w:val="30"/>
          <w:szCs w:val="30"/>
        </w:rPr>
        <w:t>分区管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控体系，划定地下水污染防治重点区，建立优先保护区、治理修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复区、风险管控区、重点防控区，明确环境准入、治理修复、风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险管控、隐患排查等差别化环境管理要求，实施地下水污染源头</w:t>
      </w:r>
      <w:r>
        <w:rPr>
          <w:spacing w:val="2"/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预防，强化地下水污染源及周边风险管控，分区管理，分类防控，</w:t>
      </w:r>
      <w:r>
        <w:rPr>
          <w:spacing w:val="13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协同治理，有效管控地下水生态环境风险。</w:t>
      </w:r>
    </w:p>
    <w:p>
      <w:pPr>
        <w:pStyle w:val="2"/>
        <w:spacing w:before="48" w:line="310" w:lineRule="auto"/>
        <w:ind w:left="22" w:right="234" w:firstLine="612"/>
        <w:rPr>
          <w:sz w:val="30"/>
          <w:szCs w:val="30"/>
        </w:rPr>
      </w:pPr>
      <w:r>
        <w:rPr>
          <w:spacing w:val="-5"/>
          <w:sz w:val="30"/>
          <w:szCs w:val="30"/>
        </w:rPr>
        <w:t>开展地下水环境调查评估。继续开展地下水“双源”环境状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况调查评估，对尾矿库、垃圾填埋场、矿山开采区及国家地下水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考核点周边区域开展专项调查及摸底监测工作。</w:t>
      </w:r>
    </w:p>
    <w:p>
      <w:pPr>
        <w:pStyle w:val="2"/>
        <w:spacing w:before="53" w:line="315" w:lineRule="auto"/>
        <w:ind w:left="29" w:right="7" w:firstLine="596"/>
        <w:rPr>
          <w:sz w:val="30"/>
          <w:szCs w:val="30"/>
        </w:rPr>
      </w:pPr>
      <w:r>
        <w:rPr>
          <w:spacing w:val="-7"/>
          <w:sz w:val="30"/>
          <w:szCs w:val="30"/>
        </w:rPr>
        <w:t>加强地下水污染协同防治。强化土壤和地下水污染协同防治，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对可能影响地下水污染的建设用地地块，制定污染防治方案、污</w:t>
      </w:r>
      <w:r>
        <w:rPr>
          <w:spacing w:val="1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染状况调查、风险管控措施、治理修复方案，突出协同防治。加</w:t>
      </w:r>
      <w:r>
        <w:rPr>
          <w:spacing w:val="1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强区域与场地地下水污染协同防治，重点开展以地下水污染防控</w:t>
      </w:r>
      <w:r>
        <w:rPr>
          <w:spacing w:val="1"/>
          <w:sz w:val="30"/>
          <w:szCs w:val="30"/>
        </w:rPr>
        <w:t xml:space="preserve">  </w:t>
      </w:r>
      <w:r>
        <w:rPr>
          <w:spacing w:val="7"/>
          <w:sz w:val="30"/>
          <w:szCs w:val="30"/>
        </w:rPr>
        <w:t>为主以及以保护地下水型饮用水水源环境安全为目的的场地防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控工作。</w:t>
      </w:r>
    </w:p>
    <w:p>
      <w:pPr>
        <w:pStyle w:val="2"/>
        <w:spacing w:before="44" w:line="314" w:lineRule="auto"/>
        <w:ind w:left="22" w:right="158" w:firstLine="622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强化地下水污染风险防控。对高风险的有色采选生产企业以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及重点尾矿库、垃圾填埋场等区域强化地下水污染风险管控，阻</w:t>
      </w:r>
      <w:r>
        <w:rPr>
          <w:spacing w:val="9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止污染扩散，加强风险管控后期环境监管，开</w:t>
      </w:r>
      <w:r>
        <w:rPr>
          <w:spacing w:val="-12"/>
          <w:sz w:val="30"/>
          <w:szCs w:val="30"/>
        </w:rPr>
        <w:t>展必要的防渗处理，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防止污染地下水。继续实施报废矿井、钻井、取水井封井回填，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防治地下水串层污染，强化示范评估。</w:t>
      </w:r>
    </w:p>
    <w:p>
      <w:pPr>
        <w:pStyle w:val="2"/>
        <w:spacing w:before="47" w:line="310" w:lineRule="auto"/>
        <w:ind w:left="24" w:right="158" w:firstLine="598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建立地下水资源环境承载能力监测预警长效机制。实行地下</w:t>
      </w:r>
      <w:r>
        <w:rPr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水开发利用总量、水位、用途、水质及机电井数量“五控”制度，</w:t>
      </w:r>
      <w:r>
        <w:rPr>
          <w:spacing w:val="1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加快实行地下水红线管控，规划期内全市地下水用水总量保持在</w:t>
      </w:r>
    </w:p>
    <w:p>
      <w:pPr>
        <w:spacing w:line="310" w:lineRule="auto"/>
        <w:rPr>
          <w:sz w:val="30"/>
          <w:szCs w:val="30"/>
        </w:rPr>
        <w:sectPr>
          <w:headerReference r:id="rId70" w:type="default"/>
          <w:footerReference r:id="rId71" w:type="default"/>
          <w:pgSz w:w="11906" w:h="16839"/>
          <w:pgMar w:top="1191" w:right="1565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216" w:lineRule="auto"/>
        <w:ind w:left="29"/>
        <w:rPr>
          <w:sz w:val="30"/>
          <w:szCs w:val="30"/>
        </w:rPr>
      </w:pPr>
      <w:r>
        <w:rPr>
          <w:spacing w:val="-3"/>
          <w:sz w:val="30"/>
          <w:szCs w:val="30"/>
        </w:rPr>
        <w:t>合理范围内。</w:t>
      </w:r>
    </w:p>
    <w:p>
      <w:pPr>
        <w:pStyle w:val="2"/>
        <w:spacing w:before="169" w:line="214" w:lineRule="auto"/>
        <w:ind w:left="624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7</w:t>
      </w:r>
      <w:r>
        <w:rPr>
          <w:rFonts w:ascii="Times New Roman" w:hAnsi="Times New Roman" w:eastAsia="Times New Roman" w:cs="Times New Roman"/>
          <w:b/>
          <w:bCs/>
          <w:spacing w:val="-39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、加强生活污水治理能力</w:t>
      </w:r>
    </w:p>
    <w:p>
      <w:pPr>
        <w:pStyle w:val="2"/>
        <w:spacing w:before="180" w:line="316" w:lineRule="auto"/>
        <w:ind w:left="23" w:firstLine="618"/>
        <w:jc w:val="both"/>
        <w:rPr>
          <w:sz w:val="30"/>
          <w:szCs w:val="30"/>
        </w:rPr>
      </w:pPr>
      <w:r>
        <w:rPr>
          <w:spacing w:val="-7"/>
          <w:sz w:val="30"/>
          <w:szCs w:val="30"/>
        </w:rPr>
        <w:t>完善城镇污水处理设施建设，开展污水管网空</w:t>
      </w:r>
      <w:r>
        <w:rPr>
          <w:spacing w:val="-8"/>
          <w:sz w:val="30"/>
          <w:szCs w:val="30"/>
        </w:rPr>
        <w:t>白区排查整治，</w:t>
      </w:r>
      <w:r>
        <w:rPr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推动管网空白区建设，到</w:t>
      </w:r>
      <w:r>
        <w:rPr>
          <w:spacing w:val="-6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2030 </w:t>
      </w:r>
      <w:r>
        <w:rPr>
          <w:spacing w:val="1"/>
          <w:sz w:val="30"/>
          <w:szCs w:val="30"/>
        </w:rPr>
        <w:t>年，建成区污水管网基本实现全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覆盖。加强污水收集管网配套建设，市区内建设完善的雨污分流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系统，完善区内排水管道系统，并确保各污水管线的封闭性。加</w:t>
      </w:r>
      <w:r>
        <w:rPr>
          <w:spacing w:val="4"/>
          <w:sz w:val="30"/>
          <w:szCs w:val="30"/>
        </w:rPr>
        <w:t xml:space="preserve">  </w:t>
      </w:r>
      <w:r>
        <w:rPr>
          <w:spacing w:val="-8"/>
          <w:sz w:val="30"/>
          <w:szCs w:val="30"/>
        </w:rPr>
        <w:t>强污水处理厂的监管，保证处理设施正常运行。加强对来水水质、</w:t>
      </w:r>
      <w:r>
        <w:rPr>
          <w:spacing w:val="13"/>
          <w:sz w:val="30"/>
          <w:szCs w:val="30"/>
        </w:rPr>
        <w:t xml:space="preserve"> </w:t>
      </w:r>
      <w:r>
        <w:rPr>
          <w:spacing w:val="-8"/>
          <w:sz w:val="30"/>
          <w:szCs w:val="30"/>
        </w:rPr>
        <w:t>水量的控制，保证来水水质、水量在污水处理厂承受能力范围内。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加强设施的维护和管理，提高设备的完好率。建立严格的运行检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测系统，控制和避免事故的发生。规划期内，城镇污水收集率达</w:t>
      </w:r>
      <w:r>
        <w:rPr>
          <w:spacing w:val="4"/>
          <w:sz w:val="30"/>
          <w:szCs w:val="30"/>
        </w:rPr>
        <w:t xml:space="preserve">  </w:t>
      </w:r>
      <w:r>
        <w:rPr>
          <w:spacing w:val="-2"/>
          <w:sz w:val="30"/>
          <w:szCs w:val="30"/>
        </w:rPr>
        <w:t>到</w:t>
      </w:r>
      <w:r>
        <w:rPr>
          <w:spacing w:val="-6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65%</w:t>
      </w:r>
      <w:r>
        <w:rPr>
          <w:spacing w:val="-2"/>
          <w:sz w:val="30"/>
          <w:szCs w:val="30"/>
        </w:rPr>
        <w:t>以上，处理率达到</w:t>
      </w:r>
      <w:r>
        <w:rPr>
          <w:spacing w:val="-6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97%</w:t>
      </w:r>
      <w:r>
        <w:rPr>
          <w:spacing w:val="-2"/>
          <w:sz w:val="30"/>
          <w:szCs w:val="30"/>
        </w:rPr>
        <w:t>以上。</w:t>
      </w:r>
    </w:p>
    <w:p>
      <w:pPr>
        <w:pStyle w:val="2"/>
        <w:spacing w:before="51" w:line="213" w:lineRule="auto"/>
        <w:ind w:left="624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8</w:t>
      </w:r>
      <w:r>
        <w:rPr>
          <w:rFonts w:ascii="Times New Roman" w:hAnsi="Times New Roman" w:eastAsia="Times New Roman" w:cs="Times New Roman"/>
          <w:b/>
          <w:bCs/>
          <w:spacing w:val="-28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、加强水环境风险防控能力建设</w:t>
      </w:r>
    </w:p>
    <w:p>
      <w:pPr>
        <w:pStyle w:val="2"/>
        <w:spacing w:before="176" w:line="315" w:lineRule="auto"/>
        <w:ind w:left="21" w:right="226" w:firstLine="604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加强尾矿库监管。加强对尾矿库企业的隐患排查治理</w:t>
      </w:r>
      <w:r>
        <w:rPr>
          <w:spacing w:val="-5"/>
          <w:sz w:val="30"/>
          <w:szCs w:val="30"/>
        </w:rPr>
        <w:t>，进一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步强化对山金矿业、森鑫矿业、比利亚矿业等铅锌矿行业尾矿库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企业的监督管理，督促检查有关地区及企业严格执行尾矿库相关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法律、法规和标准，建立完善尾矿库基本情况数据库。督促尾矿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库企业开展隐患排查，采取联合执法等有效方式对企业排查隐患</w:t>
      </w:r>
      <w:r>
        <w:rPr>
          <w:spacing w:val="10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情况进行督查。</w:t>
      </w:r>
    </w:p>
    <w:p>
      <w:pPr>
        <w:pStyle w:val="2"/>
        <w:spacing w:before="44" w:line="316" w:lineRule="auto"/>
        <w:ind w:left="21" w:right="226" w:firstLine="604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加强对尾矿库排污申报的登记管理。对发生尾矿库生</w:t>
      </w:r>
      <w:r>
        <w:rPr>
          <w:spacing w:val="-5"/>
          <w:sz w:val="30"/>
          <w:szCs w:val="30"/>
        </w:rPr>
        <w:t>产安全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事故和环境污染事件的企业，依法进行严肃查处。持续深化尾矿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库专项整治行动，健全尾矿库监督管理体制机制，坚决依法严厉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打击或取缔关闭非法生产和不具备安全生产条件、严重污染环境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的尾矿库，加大对无主管单位尾矿库的整治力度，及时治理危险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库。</w:t>
      </w:r>
    </w:p>
    <w:p>
      <w:pPr>
        <w:pStyle w:val="2"/>
        <w:spacing w:before="40" w:line="305" w:lineRule="auto"/>
        <w:ind w:left="29" w:right="226" w:firstLine="615"/>
        <w:rPr>
          <w:sz w:val="30"/>
          <w:szCs w:val="30"/>
        </w:rPr>
      </w:pPr>
      <w:r>
        <w:rPr>
          <w:spacing w:val="-5"/>
          <w:sz w:val="30"/>
          <w:szCs w:val="30"/>
        </w:rPr>
        <w:t>强化突发水环境事件应急能力建设。落实《突发环境事件专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项应急预案》的基础上，督促、指导流域内各管理部门编制、完</w:t>
      </w:r>
    </w:p>
    <w:p>
      <w:pPr>
        <w:spacing w:line="305" w:lineRule="auto"/>
        <w:rPr>
          <w:sz w:val="30"/>
          <w:szCs w:val="30"/>
        </w:rPr>
        <w:sectPr>
          <w:headerReference r:id="rId72" w:type="default"/>
          <w:footerReference r:id="rId73" w:type="default"/>
          <w:pgSz w:w="11906" w:h="16839"/>
          <w:pgMar w:top="1191" w:right="1572" w:bottom="1152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314" w:lineRule="auto"/>
        <w:ind w:left="20" w:right="143" w:firstLine="15"/>
        <w:jc w:val="both"/>
        <w:rPr>
          <w:sz w:val="30"/>
          <w:szCs w:val="30"/>
        </w:rPr>
      </w:pPr>
      <w:r>
        <w:rPr>
          <w:spacing w:val="7"/>
          <w:sz w:val="30"/>
          <w:szCs w:val="30"/>
        </w:rPr>
        <w:t>善突发水环境事件专项应急预案和饮用水水源地突</w:t>
      </w:r>
      <w:r>
        <w:rPr>
          <w:spacing w:val="6"/>
          <w:sz w:val="30"/>
          <w:szCs w:val="30"/>
        </w:rPr>
        <w:t>发环境事件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专项应急预案。进一步提高水环境风险处置能力，定期或不定期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开展水环境安全隐患排查及水环境风险评估工作，完善应急资源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储备，加强水环境应急救援队伍建设，加强突发水环境污染事故</w:t>
      </w:r>
      <w:r>
        <w:rPr>
          <w:spacing w:val="11"/>
          <w:sz w:val="30"/>
          <w:szCs w:val="30"/>
        </w:rPr>
        <w:t xml:space="preserve"> </w:t>
      </w:r>
      <w:bookmarkStart w:id="71" w:name="bookmark46"/>
      <w:bookmarkEnd w:id="71"/>
      <w:r>
        <w:rPr>
          <w:spacing w:val="-2"/>
          <w:sz w:val="30"/>
          <w:szCs w:val="30"/>
        </w:rPr>
        <w:t>应急演练。</w:t>
      </w:r>
    </w:p>
    <w:p>
      <w:pPr>
        <w:spacing w:before="49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4"/>
          <w:sz w:val="30"/>
          <w:szCs w:val="30"/>
        </w:rPr>
        <w:t>（三）逐步改善声环境治理</w:t>
      </w:r>
    </w:p>
    <w:p>
      <w:pPr>
        <w:pStyle w:val="2"/>
        <w:spacing w:before="161" w:line="316" w:lineRule="auto"/>
        <w:ind w:left="20" w:firstLine="624"/>
        <w:jc w:val="both"/>
        <w:rPr>
          <w:sz w:val="30"/>
          <w:szCs w:val="30"/>
        </w:rPr>
      </w:pPr>
      <w:r>
        <w:rPr>
          <w:spacing w:val="-11"/>
          <w:sz w:val="30"/>
          <w:szCs w:val="30"/>
        </w:rPr>
        <w:t>强化组织协调。严格落实《中华人民共和国噪声污染防治法》</w:t>
      </w:r>
      <w:r>
        <w:rPr>
          <w:spacing w:val="1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以及国家、自治区、市噪声污染防治行动计划要求，明确各部门</w:t>
      </w:r>
      <w:r>
        <w:rPr>
          <w:spacing w:val="5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具体职责，推进噪声污染综合治理，形成多部门协作、全社会参</w:t>
      </w:r>
      <w:r>
        <w:rPr>
          <w:spacing w:val="5"/>
          <w:sz w:val="30"/>
          <w:szCs w:val="30"/>
        </w:rPr>
        <w:t xml:space="preserve">  </w:t>
      </w:r>
      <w:r>
        <w:rPr>
          <w:spacing w:val="9"/>
          <w:sz w:val="30"/>
          <w:szCs w:val="30"/>
        </w:rPr>
        <w:t>与的综合治理格局。统筹畅通市长热线“</w:t>
      </w:r>
      <w:r>
        <w:rPr>
          <w:spacing w:val="-9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</w:rPr>
        <w:t>12345</w:t>
      </w:r>
      <w:r>
        <w:rPr>
          <w:rFonts w:ascii="Times New Roman" w:hAnsi="Times New Roman" w:eastAsia="Times New Roman" w:cs="Times New Roman"/>
          <w:spacing w:val="-39"/>
          <w:sz w:val="30"/>
          <w:szCs w:val="30"/>
        </w:rPr>
        <w:t xml:space="preserve"> </w:t>
      </w:r>
      <w:r>
        <w:rPr>
          <w:spacing w:val="9"/>
          <w:sz w:val="30"/>
          <w:szCs w:val="30"/>
        </w:rPr>
        <w:t>”、各级环保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“</w:t>
      </w:r>
      <w:r>
        <w:rPr>
          <w:spacing w:val="-11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12369</w:t>
      </w:r>
      <w:r>
        <w:rPr>
          <w:spacing w:val="-4"/>
          <w:sz w:val="30"/>
          <w:szCs w:val="30"/>
        </w:rPr>
        <w:t>”</w:t>
      </w:r>
      <w:r>
        <w:rPr>
          <w:spacing w:val="-1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、城市执法局“</w:t>
      </w:r>
      <w:r>
        <w:rPr>
          <w:spacing w:val="-11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12319</w:t>
      </w:r>
      <w:r>
        <w:rPr>
          <w:spacing w:val="-4"/>
          <w:sz w:val="30"/>
          <w:szCs w:val="30"/>
        </w:rPr>
        <w:t>”</w:t>
      </w:r>
      <w:r>
        <w:rPr>
          <w:spacing w:val="-1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、公安“</w:t>
      </w:r>
      <w:r>
        <w:rPr>
          <w:spacing w:val="-11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110</w:t>
      </w:r>
      <w:r>
        <w:rPr>
          <w:spacing w:val="-5"/>
          <w:sz w:val="30"/>
          <w:szCs w:val="30"/>
        </w:rPr>
        <w:t>”等噪声相关投</w:t>
      </w:r>
      <w:r>
        <w:rPr>
          <w:sz w:val="30"/>
          <w:szCs w:val="30"/>
        </w:rPr>
        <w:t xml:space="preserve">  </w:t>
      </w:r>
      <w:r>
        <w:rPr>
          <w:spacing w:val="-9"/>
          <w:sz w:val="30"/>
          <w:szCs w:val="30"/>
        </w:rPr>
        <w:t>诉数据，实现各数据部门信息共享，加强噪声污染信访投诉处置，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严厉查处工业企业噪声排放超标扰民行为，探索建立多部门的噪</w:t>
      </w:r>
      <w:r>
        <w:rPr>
          <w:spacing w:val="5"/>
          <w:sz w:val="30"/>
          <w:szCs w:val="30"/>
        </w:rPr>
        <w:t xml:space="preserve">  </w:t>
      </w:r>
      <w:r>
        <w:rPr>
          <w:spacing w:val="-1"/>
          <w:sz w:val="30"/>
          <w:szCs w:val="30"/>
        </w:rPr>
        <w:t>声污染投诉信息共享机制。</w:t>
      </w:r>
    </w:p>
    <w:p>
      <w:pPr>
        <w:pStyle w:val="2"/>
        <w:spacing w:before="50" w:line="316" w:lineRule="auto"/>
        <w:ind w:left="35" w:right="60" w:firstLine="609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强化噪声污染源头预防。在城市建设规划时，综合考虑环境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噪声问题，科学合理布局新建项目，避免噪声干扰，特</w:t>
      </w:r>
      <w:r>
        <w:rPr>
          <w:spacing w:val="-5"/>
          <w:sz w:val="30"/>
          <w:szCs w:val="30"/>
        </w:rPr>
        <w:t>别注重对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噪声敏感区，如学校、医院和住宅等的影响。持续推进</w:t>
      </w:r>
      <w:r>
        <w:rPr>
          <w:spacing w:val="-5"/>
          <w:sz w:val="30"/>
          <w:szCs w:val="30"/>
        </w:rPr>
        <w:t>工业噪声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实施排污许可，严格建设项目声环境影响评价，明确改</w:t>
      </w:r>
      <w:r>
        <w:rPr>
          <w:spacing w:val="-5"/>
          <w:sz w:val="30"/>
          <w:szCs w:val="30"/>
        </w:rPr>
        <w:t>善噪声污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染防治的措施要求。规划建设新居民区时，首先必须预</w:t>
      </w:r>
      <w:r>
        <w:rPr>
          <w:spacing w:val="-5"/>
          <w:sz w:val="30"/>
          <w:szCs w:val="30"/>
        </w:rPr>
        <w:t>防交通噪</w:t>
      </w:r>
      <w:r>
        <w:rPr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声、三产噪声、生活噪声及工业噪声可能对人居环境产生的影响。</w:t>
      </w:r>
      <w:r>
        <w:rPr>
          <w:spacing w:val="1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文化生活区禁止新建、扩建、改建有噪声污染的工业企</w:t>
      </w:r>
      <w:r>
        <w:rPr>
          <w:spacing w:val="-5"/>
          <w:sz w:val="30"/>
          <w:szCs w:val="30"/>
        </w:rPr>
        <w:t>业；完成</w:t>
      </w:r>
      <w:r>
        <w:rPr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噪声污染工业企业的搬迁或转产，从源头上杜绝新噪声污染源。</w:t>
      </w:r>
    </w:p>
    <w:p>
      <w:pPr>
        <w:pStyle w:val="2"/>
        <w:spacing w:before="50" w:line="312" w:lineRule="auto"/>
        <w:ind w:left="29" w:right="68" w:firstLine="598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分类监管四类噪声。加强交通运输噪声防治，由</w:t>
      </w:r>
      <w:r>
        <w:rPr>
          <w:spacing w:val="-5"/>
          <w:sz w:val="30"/>
          <w:szCs w:val="30"/>
        </w:rPr>
        <w:t>生态环境局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会同公安局交警大队、车辆管理所等共同进行交通噪声的综合治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理，有序推动交通隔声屏障建设；科学划定禁鸣区域、路段和时</w:t>
      </w:r>
      <w:r>
        <w:rPr>
          <w:spacing w:val="2"/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段。严格工业噪声污染防治，加大噪声排放超标污染源关停力度，</w:t>
      </w:r>
    </w:p>
    <w:p>
      <w:pPr>
        <w:spacing w:line="312" w:lineRule="auto"/>
        <w:rPr>
          <w:sz w:val="30"/>
          <w:szCs w:val="30"/>
        </w:rPr>
        <w:sectPr>
          <w:headerReference r:id="rId74" w:type="default"/>
          <w:footerReference r:id="rId75" w:type="default"/>
          <w:pgSz w:w="11906" w:h="16839"/>
          <w:pgMar w:top="1191" w:right="1655" w:bottom="1152" w:left="1785" w:header="882" w:footer="987" w:gutter="0"/>
          <w:cols w:space="720" w:num="1"/>
        </w:sectPr>
      </w:pPr>
    </w:p>
    <w:p>
      <w:pPr>
        <w:spacing w:line="311" w:lineRule="auto"/>
        <w:rPr>
          <w:rFonts w:ascii="Arial"/>
          <w:sz w:val="21"/>
        </w:rPr>
      </w:pPr>
    </w:p>
    <w:p>
      <w:pPr>
        <w:pStyle w:val="2"/>
        <w:spacing w:before="97" w:line="317" w:lineRule="auto"/>
        <w:ind w:left="23" w:firstLine="21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强化日常执法巡查，严肃查处未办理环评手续、未配套建设噪声</w:t>
      </w:r>
      <w:r>
        <w:rPr>
          <w:spacing w:val="7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污染防治设施、未办理噪声污染防治设施验收手续、噪声超标等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环境违法行为，鼓励推广采用声学控制措施控制噪声污染。强化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建筑施工噪声监管，加强施工噪声排放申报管理和城市夜间施工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审批管理，严查施工噪声超标行为，加强建筑施工信息公开，建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立健全与周边居民的沟通交流机制，设立专门的投诉电话，对群</w:t>
      </w:r>
      <w:r>
        <w:rPr>
          <w:spacing w:val="4"/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众的投诉做到及时接纳并予以解决。推进社会生活噪声污</w:t>
      </w:r>
      <w:r>
        <w:rPr>
          <w:spacing w:val="-7"/>
          <w:sz w:val="30"/>
          <w:szCs w:val="30"/>
        </w:rPr>
        <w:t>染防治，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加强公园等公共场所的娱乐、聚会、体育锻炼等活动，以及住宅</w:t>
      </w:r>
      <w:r>
        <w:rPr>
          <w:spacing w:val="4"/>
          <w:sz w:val="30"/>
          <w:szCs w:val="30"/>
        </w:rPr>
        <w:t xml:space="preserve">  </w:t>
      </w:r>
      <w:r>
        <w:rPr>
          <w:spacing w:val="2"/>
          <w:sz w:val="30"/>
          <w:szCs w:val="30"/>
        </w:rPr>
        <w:t>楼装修活动等社会生活噪声污染防治。加强</w:t>
      </w:r>
      <w:r>
        <w:rPr>
          <w:spacing w:val="-6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>KTV</w:t>
      </w:r>
      <w:r>
        <w:rPr>
          <w:rFonts w:ascii="Times New Roman" w:hAnsi="Times New Roman" w:eastAsia="Times New Roman" w:cs="Times New Roman"/>
          <w:spacing w:val="-32"/>
          <w:sz w:val="30"/>
          <w:szCs w:val="30"/>
        </w:rPr>
        <w:t xml:space="preserve"> </w:t>
      </w:r>
      <w:r>
        <w:rPr>
          <w:spacing w:val="2"/>
          <w:sz w:val="30"/>
          <w:szCs w:val="30"/>
        </w:rPr>
        <w:t>、舞厅等娱乐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场所管理力度，必须采用隔声减震等方法进行噪声治理，严格实</w:t>
      </w:r>
      <w:r>
        <w:rPr>
          <w:spacing w:val="4"/>
          <w:sz w:val="30"/>
          <w:szCs w:val="30"/>
        </w:rPr>
        <w:t xml:space="preserve">  </w:t>
      </w:r>
      <w:r>
        <w:rPr>
          <w:spacing w:val="-1"/>
          <w:sz w:val="30"/>
          <w:szCs w:val="30"/>
        </w:rPr>
        <w:t>施《社会生活环境噪声排放标准》。</w:t>
      </w:r>
    </w:p>
    <w:p>
      <w:pPr>
        <w:spacing w:before="51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4"/>
          <w:sz w:val="30"/>
          <w:szCs w:val="30"/>
        </w:rPr>
        <w:t>（四）防范生态环境风险</w:t>
      </w:r>
    </w:p>
    <w:p>
      <w:pPr>
        <w:pStyle w:val="2"/>
        <w:spacing w:before="159" w:line="214" w:lineRule="auto"/>
        <w:ind w:left="633"/>
        <w:rPr>
          <w:sz w:val="30"/>
          <w:szCs w:val="30"/>
        </w:rPr>
      </w:pPr>
      <w:bookmarkStart w:id="72" w:name="bookmark48"/>
      <w:bookmarkEnd w:id="72"/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b/>
          <w:bCs/>
          <w:spacing w:val="-32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、加强重点建设用地土壤风险管控</w:t>
      </w:r>
    </w:p>
    <w:p>
      <w:pPr>
        <w:pStyle w:val="2"/>
        <w:spacing w:before="175" w:line="316" w:lineRule="auto"/>
        <w:ind w:left="25" w:right="226" w:firstLine="594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严格建设地块准入管理。认真落实内蒙古自治区建设用地土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壤污染风险管控和修复名录制度。以用途变更为住宅、公共管理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与公共服务用地的地块为重点，依法开展土壤污染状况调查和风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险评估。因地制宜严格污染地块准入，合理确定土地开发和使用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时序。强化部门信息共享和联动监管，自然资源、生态环境部门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之间及时共享并动态更新拟变为“一住两公”地块、疑似污染地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块、污染地块有关信息。强化重点监管单位监管，适时开展重点</w:t>
      </w:r>
      <w:r>
        <w:rPr>
          <w:spacing w:val="5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监管单位土地开发利用风险管控效果评估。</w:t>
      </w:r>
    </w:p>
    <w:p>
      <w:pPr>
        <w:pStyle w:val="2"/>
        <w:spacing w:before="49" w:line="213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b/>
          <w:bCs/>
          <w:spacing w:val="-28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、推进外来物种入侵防治工作</w:t>
      </w:r>
    </w:p>
    <w:p>
      <w:pPr>
        <w:pStyle w:val="2"/>
        <w:spacing w:before="175" w:line="312" w:lineRule="auto"/>
        <w:ind w:left="16" w:right="206" w:firstLine="606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建立健全外来入侵物种监测体系。定期对农田、水域等重点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区域开展监测，掌握分布情况和数量变化，及时更新本地外来入</w:t>
      </w:r>
      <w:r>
        <w:rPr>
          <w:spacing w:val="14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侵物种普查数据。建立健全外来入侵物种防控工作的责任体系，</w:t>
      </w:r>
      <w:r>
        <w:rPr>
          <w:spacing w:val="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明确各相关部门的职责和权责，加强对进口种子、苗木、动植物</w:t>
      </w:r>
    </w:p>
    <w:p>
      <w:pPr>
        <w:spacing w:line="312" w:lineRule="auto"/>
        <w:rPr>
          <w:sz w:val="30"/>
          <w:szCs w:val="30"/>
        </w:rPr>
        <w:sectPr>
          <w:headerReference r:id="rId76" w:type="default"/>
          <w:footerReference r:id="rId77" w:type="default"/>
          <w:pgSz w:w="11906" w:h="16839"/>
          <w:pgMar w:top="1191" w:right="1572" w:bottom="1152" w:left="1785" w:header="882" w:footer="987" w:gutter="0"/>
          <w:cols w:space="720" w:num="1"/>
        </w:sectPr>
      </w:pPr>
    </w:p>
    <w:p>
      <w:pPr>
        <w:spacing w:line="309" w:lineRule="auto"/>
        <w:rPr>
          <w:rFonts w:ascii="Arial"/>
          <w:sz w:val="21"/>
        </w:rPr>
      </w:pPr>
    </w:p>
    <w:p>
      <w:pPr>
        <w:pStyle w:val="2"/>
        <w:spacing w:before="98" w:line="312" w:lineRule="auto"/>
        <w:ind w:left="20" w:right="33" w:firstLine="2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及其产品的监管和检疫工作，确保不良入侵物种的传播途径受到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严格控制。加强人员培训，提高工作人员的专业水平和应急处理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能力，开展宣传教育活动，提高公众对外来入侵物种的认识和防</w:t>
      </w:r>
      <w:r>
        <w:rPr>
          <w:spacing w:val="11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范意识，减少人为引入的风险。</w:t>
      </w:r>
    </w:p>
    <w:p>
      <w:pPr>
        <w:pStyle w:val="2"/>
        <w:spacing w:before="53" w:line="315" w:lineRule="auto"/>
        <w:ind w:left="25" w:right="33" w:firstLine="615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实施重大危害入侵物种防控攻坚行动。落实“一种一策”精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准治理，采取科学措施有效灭除。科学研判，做到有突出、有重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点、有计划开展防控行动。重点关注对农业、生态环境和经济发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展带来严重威胁的物种。通过加强执法力度，采取必要的措施对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危害物种进行消灭或阻断传播，确保生态系统的稳定和农业生产</w:t>
      </w:r>
      <w:r>
        <w:rPr>
          <w:spacing w:val="5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的安全。</w:t>
      </w:r>
    </w:p>
    <w:p>
      <w:pPr>
        <w:pStyle w:val="2"/>
        <w:spacing w:before="47" w:line="213" w:lineRule="auto"/>
        <w:ind w:left="618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b/>
          <w:bCs/>
          <w:spacing w:val="-33"/>
          <w:sz w:val="30"/>
          <w:szCs w:val="30"/>
        </w:rPr>
        <w:t xml:space="preserve"> </w:t>
      </w:r>
      <w:r>
        <w:rPr>
          <w:b/>
          <w:bCs/>
          <w:spacing w:val="-5"/>
          <w:sz w:val="30"/>
          <w:szCs w:val="30"/>
        </w:rPr>
        <w:t>、完善突发环境事件应急管理机制</w:t>
      </w:r>
    </w:p>
    <w:p>
      <w:pPr>
        <w:pStyle w:val="2"/>
        <w:spacing w:before="173" w:line="313" w:lineRule="auto"/>
        <w:ind w:left="23" w:firstLine="618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完善环境风险监控预警网络，建立多部门预警防控机制。构</w:t>
      </w:r>
      <w:r>
        <w:rPr>
          <w:spacing w:val="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建根河市水、气、土一体化环境风险监控预警网络，重点加强对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涉危企业环境风险预警，建设根河市水资源风险预警平台。由政</w:t>
      </w:r>
      <w:r>
        <w:rPr>
          <w:spacing w:val="8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府牵头在全市范围建立应急预警防控联动机制，加强生态环境、</w:t>
      </w:r>
      <w:r>
        <w:rPr>
          <w:spacing w:val="13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应急管理、气象、安监等多部门间的联动。</w:t>
      </w:r>
    </w:p>
    <w:p>
      <w:pPr>
        <w:pStyle w:val="2"/>
        <w:spacing w:before="57" w:line="312" w:lineRule="auto"/>
        <w:ind w:left="25" w:right="33" w:firstLine="600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加强应急预案管理，促进各类预案有效衔接。实施企</w:t>
      </w:r>
      <w:r>
        <w:rPr>
          <w:spacing w:val="-5"/>
          <w:sz w:val="30"/>
          <w:szCs w:val="30"/>
        </w:rPr>
        <w:t>业突发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环境事件风险评估和应急预案备案制度。促进企业预案与其他相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关应急预案的有效衔接。定期对备案的应急预案进行抽查，督促</w:t>
      </w:r>
      <w:r>
        <w:rPr>
          <w:spacing w:val="5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企业每三年对应急预案开展一次回顾性评估。</w:t>
      </w:r>
    </w:p>
    <w:p>
      <w:pPr>
        <w:pStyle w:val="2"/>
        <w:spacing w:before="52" w:line="214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4</w:t>
      </w:r>
      <w:r>
        <w:rPr>
          <w:rFonts w:ascii="Times New Roman" w:hAnsi="Times New Roman" w:eastAsia="Times New Roman" w:cs="Times New Roman"/>
          <w:b/>
          <w:bCs/>
          <w:spacing w:val="-33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、强化危险废物全过程管理</w:t>
      </w:r>
    </w:p>
    <w:p>
      <w:pPr>
        <w:pStyle w:val="2"/>
        <w:spacing w:before="170" w:line="314" w:lineRule="auto"/>
        <w:ind w:left="25" w:right="33" w:firstLine="618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强化危险废物全过程管理。督促危废产生企业采取改进生产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工艺、提高原料利用率等措施，从源头减少危险废物产生量。建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立健全危险废物贮运和处置体系，建立完善危险废物分类与回收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制度，对不同类型的危险废物进行分类收集、储存和运输。推进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本地危险废物处置设施建设，推行视频监控、电子标签等集成智</w:t>
      </w:r>
    </w:p>
    <w:p>
      <w:pPr>
        <w:spacing w:line="314" w:lineRule="auto"/>
        <w:rPr>
          <w:sz w:val="30"/>
          <w:szCs w:val="30"/>
        </w:rPr>
        <w:sectPr>
          <w:headerReference r:id="rId78" w:type="default"/>
          <w:footerReference r:id="rId79" w:type="default"/>
          <w:pgSz w:w="11906" w:h="16839"/>
          <w:pgMar w:top="1191" w:right="1766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305" w:lineRule="auto"/>
        <w:ind w:left="38" w:right="82" w:firstLine="12"/>
        <w:rPr>
          <w:sz w:val="30"/>
          <w:szCs w:val="30"/>
        </w:rPr>
      </w:pPr>
      <w:r>
        <w:rPr>
          <w:spacing w:val="-5"/>
          <w:sz w:val="30"/>
          <w:szCs w:val="30"/>
        </w:rPr>
        <w:t>能监控手段，实现危险废物收集、暂存、转运、处理处置全过程</w:t>
      </w:r>
      <w:r>
        <w:rPr>
          <w:spacing w:val="7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跟踪管理。</w:t>
      </w:r>
    </w:p>
    <w:p>
      <w:pPr>
        <w:pStyle w:val="2"/>
        <w:spacing w:before="47" w:line="315" w:lineRule="auto"/>
        <w:ind w:left="22" w:firstLine="60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优化危险废物利用处置能力。鼓励危险废物产生量大</w:t>
      </w:r>
      <w:r>
        <w:rPr>
          <w:spacing w:val="-5"/>
          <w:sz w:val="30"/>
          <w:szCs w:val="30"/>
        </w:rPr>
        <w:t>、种类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单一的企业积极研发和推广危险废物资源化利用技术，实现废物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的减量化、资源化和无害化。加大对危险废物处置技术的研发和</w:t>
      </w:r>
      <w:r>
        <w:rPr>
          <w:spacing w:val="9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推广力度，提高处置效率和质量，降低危险废物填埋处置的需求。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建立医疗废物协同应急处置设施清单，完善处置物资储备体系，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保障重大疫情医疗废物应急处置能力。</w:t>
      </w:r>
    </w:p>
    <w:p>
      <w:pPr>
        <w:spacing w:before="200" w:line="218" w:lineRule="auto"/>
        <w:ind w:left="36"/>
        <w:outlineLvl w:val="1"/>
        <w:rPr>
          <w:rFonts w:ascii="黑体" w:hAnsi="黑体" w:eastAsia="黑体" w:cs="黑体"/>
          <w:sz w:val="31"/>
          <w:szCs w:val="31"/>
        </w:rPr>
      </w:pPr>
      <w:bookmarkStart w:id="73" w:name="bookmark52"/>
      <w:bookmarkEnd w:id="73"/>
      <w:bookmarkStart w:id="74" w:name="bookmark50"/>
      <w:bookmarkEnd w:id="74"/>
      <w:r>
        <w:rPr>
          <w:rFonts w:ascii="黑体" w:hAnsi="黑体" w:eastAsia="黑体" w:cs="黑体"/>
          <w:b/>
          <w:bCs/>
          <w:spacing w:val="6"/>
          <w:sz w:val="31"/>
          <w:szCs w:val="31"/>
        </w:rPr>
        <w:t>六、做强生态经济体系，推动绿色发展</w:t>
      </w:r>
    </w:p>
    <w:p>
      <w:pPr>
        <w:spacing w:before="263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（一）构建绿色低碳循环产业体系</w:t>
      </w:r>
    </w:p>
    <w:p>
      <w:pPr>
        <w:pStyle w:val="2"/>
        <w:spacing w:before="160" w:line="214" w:lineRule="auto"/>
        <w:ind w:left="633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8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b/>
          <w:bCs/>
          <w:spacing w:val="-36"/>
          <w:sz w:val="30"/>
          <w:szCs w:val="30"/>
        </w:rPr>
        <w:t xml:space="preserve"> </w:t>
      </w:r>
      <w:r>
        <w:rPr>
          <w:b/>
          <w:bCs/>
          <w:spacing w:val="-8"/>
          <w:sz w:val="30"/>
          <w:szCs w:val="30"/>
        </w:rPr>
        <w:t>、优化产业空间布局</w:t>
      </w:r>
    </w:p>
    <w:p>
      <w:pPr>
        <w:pStyle w:val="2"/>
        <w:spacing w:before="175" w:line="312" w:lineRule="auto"/>
        <w:ind w:left="29" w:right="82" w:firstLine="637"/>
        <w:jc w:val="both"/>
        <w:rPr>
          <w:sz w:val="30"/>
          <w:szCs w:val="30"/>
        </w:rPr>
      </w:pPr>
      <w:r>
        <w:rPr>
          <w:spacing w:val="-6"/>
          <w:sz w:val="30"/>
          <w:szCs w:val="30"/>
        </w:rPr>
        <w:t>以根河市主体功能区划要求指引优化产业布局，按照严控总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量、盘活存量、做优增量、提高质量的思路，节约集约用地，打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造“一核、两轴、三区、多点”的现代产业总体布局，以生态产</w:t>
      </w:r>
      <w:r>
        <w:rPr>
          <w:spacing w:val="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业为主，建成完善的绿色低碳循环产业体系。</w:t>
      </w:r>
    </w:p>
    <w:p>
      <w:pPr>
        <w:pStyle w:val="2"/>
        <w:spacing w:before="50" w:line="317" w:lineRule="auto"/>
        <w:ind w:left="17" w:right="62" w:firstLine="632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“一核”为市区产业发展核，包括市区、好里堡街道和</w:t>
      </w:r>
      <w:r>
        <w:rPr>
          <w:spacing w:val="-6"/>
          <w:sz w:val="30"/>
          <w:szCs w:val="30"/>
        </w:rPr>
        <w:t>敖鲁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古雅乡，以生态文化旅游、商贸服务为主导产业，推动旅游产业</w:t>
      </w:r>
      <w:r>
        <w:rPr>
          <w:spacing w:val="13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与康养度假、文化体育、城乡经济、电子商贸等产业融合发展，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形成全市产业经济发展的核心。“两轴”为中心城区向得耳布尔</w:t>
      </w:r>
      <w:r>
        <w:rPr>
          <w:spacing w:val="11"/>
          <w:sz w:val="30"/>
          <w:szCs w:val="30"/>
        </w:rPr>
        <w:t xml:space="preserve"> </w:t>
      </w:r>
      <w:r>
        <w:rPr>
          <w:spacing w:val="2"/>
          <w:sz w:val="30"/>
          <w:szCs w:val="30"/>
        </w:rPr>
        <w:t>镇及满归镇两极发展的</w:t>
      </w:r>
      <w:r>
        <w:rPr>
          <w:spacing w:val="-6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>V</w:t>
      </w:r>
      <w:r>
        <w:rPr>
          <w:rFonts w:ascii="Times New Roman" w:hAnsi="Times New Roman" w:eastAsia="Times New Roman" w:cs="Times New Roman"/>
          <w:spacing w:val="36"/>
          <w:sz w:val="30"/>
          <w:szCs w:val="30"/>
        </w:rPr>
        <w:t xml:space="preserve"> </w:t>
      </w:r>
      <w:r>
        <w:rPr>
          <w:spacing w:val="2"/>
          <w:sz w:val="30"/>
          <w:szCs w:val="30"/>
        </w:rPr>
        <w:t>字形产业发展经济轴，</w:t>
      </w:r>
      <w:r>
        <w:rPr>
          <w:spacing w:val="1"/>
          <w:sz w:val="30"/>
          <w:szCs w:val="30"/>
        </w:rPr>
        <w:t>“</w:t>
      </w:r>
      <w:r>
        <w:rPr>
          <w:spacing w:val="-109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三区”为北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部生态文旅产业区、西部绿色矿产开发区、配套型现代服务产业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区，“多点”为散布全市的多个产业发展基地。西部依托有色矿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产资源基础，推动绿色矿山建设；中部、北部发挥气候、物产等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资源优势，以木材精深加工、特色种养、林下经济和生态文旅产</w:t>
      </w:r>
      <w:r>
        <w:rPr>
          <w:spacing w:val="13"/>
          <w:sz w:val="30"/>
          <w:szCs w:val="30"/>
        </w:rPr>
        <w:t xml:space="preserve"> </w:t>
      </w:r>
      <w:r>
        <w:rPr>
          <w:sz w:val="30"/>
          <w:szCs w:val="30"/>
        </w:rPr>
        <w:t>业为主导产业，做精第一产业，做强第二产业，做</w:t>
      </w:r>
      <w:r>
        <w:rPr>
          <w:spacing w:val="-1"/>
          <w:sz w:val="30"/>
          <w:szCs w:val="30"/>
        </w:rPr>
        <w:t>优服务业。</w:t>
      </w:r>
    </w:p>
    <w:p>
      <w:pPr>
        <w:pStyle w:val="2"/>
        <w:spacing w:before="48" w:line="214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7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b/>
          <w:bCs/>
          <w:spacing w:val="-34"/>
          <w:sz w:val="30"/>
          <w:szCs w:val="30"/>
        </w:rPr>
        <w:t xml:space="preserve"> </w:t>
      </w:r>
      <w:r>
        <w:rPr>
          <w:b/>
          <w:bCs/>
          <w:spacing w:val="-7"/>
          <w:sz w:val="30"/>
          <w:szCs w:val="30"/>
        </w:rPr>
        <w:t>、生态农业增量增质</w:t>
      </w:r>
    </w:p>
    <w:p>
      <w:pPr>
        <w:spacing w:line="214" w:lineRule="auto"/>
        <w:rPr>
          <w:sz w:val="30"/>
          <w:szCs w:val="30"/>
        </w:rPr>
        <w:sectPr>
          <w:headerReference r:id="rId80" w:type="default"/>
          <w:footerReference r:id="rId81" w:type="default"/>
          <w:pgSz w:w="11906" w:h="16839"/>
          <w:pgMar w:top="1191" w:right="1716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216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1</w:t>
      </w:r>
      <w:r>
        <w:rPr>
          <w:spacing w:val="-1"/>
          <w:sz w:val="30"/>
          <w:szCs w:val="30"/>
        </w:rPr>
        <w:t>）特色种植</w:t>
      </w:r>
    </w:p>
    <w:p>
      <w:pPr>
        <w:pStyle w:val="2"/>
        <w:spacing w:before="166" w:line="315" w:lineRule="auto"/>
        <w:ind w:left="21" w:right="138" w:firstLine="617"/>
        <w:rPr>
          <w:sz w:val="30"/>
          <w:szCs w:val="30"/>
        </w:rPr>
      </w:pPr>
      <w:r>
        <w:rPr>
          <w:spacing w:val="-5"/>
          <w:sz w:val="30"/>
          <w:szCs w:val="30"/>
        </w:rPr>
        <w:t>重点扩大食用菌、野生浆果、山野菜、芍药等特色产品种植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规模，为绿色食品加工业发展提供原料保障。探索中草药、野生</w:t>
      </w:r>
      <w:r>
        <w:rPr>
          <w:spacing w:val="10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蓝莓人工栽培和驯化，积极繁育新品种，为规模化种植奠定基础。</w:t>
      </w:r>
      <w:r>
        <w:rPr>
          <w:spacing w:val="6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发挥食用菌专业合作社的龙头作用，扩大黑木耳、白灵菇、灵芝、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滑子菇等种植规模，提高深加工能力和水平，完善服务体系和营</w:t>
      </w:r>
      <w:r>
        <w:rPr>
          <w:spacing w:val="10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销网络，推进食用菌品牌化、多元化、产业化进程。</w:t>
      </w:r>
    </w:p>
    <w:p>
      <w:pPr>
        <w:pStyle w:val="2"/>
        <w:spacing w:before="51" w:line="214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2</w:t>
      </w:r>
      <w:r>
        <w:rPr>
          <w:spacing w:val="-1"/>
          <w:sz w:val="30"/>
          <w:szCs w:val="30"/>
        </w:rPr>
        <w:t>）特色养殖</w:t>
      </w:r>
    </w:p>
    <w:p>
      <w:pPr>
        <w:pStyle w:val="2"/>
        <w:spacing w:before="176" w:line="315" w:lineRule="auto"/>
        <w:ind w:left="20" w:firstLine="600"/>
        <w:rPr>
          <w:sz w:val="30"/>
          <w:szCs w:val="30"/>
        </w:rPr>
      </w:pPr>
      <w:r>
        <w:rPr>
          <w:spacing w:val="-4"/>
          <w:sz w:val="30"/>
          <w:szCs w:val="30"/>
        </w:rPr>
        <w:t>依托“冷资源”优势，利用好中国唯一的驯鹿种群资源，积</w:t>
      </w:r>
      <w:r>
        <w:rPr>
          <w:spacing w:val="1"/>
          <w:sz w:val="30"/>
          <w:szCs w:val="30"/>
        </w:rPr>
        <w:t xml:space="preserve">  </w:t>
      </w:r>
      <w:r>
        <w:rPr>
          <w:spacing w:val="-8"/>
          <w:sz w:val="30"/>
          <w:szCs w:val="30"/>
        </w:rPr>
        <w:t>极发展驯鹿产业，优化种群结构，提高种群质量，扩大种群规模。</w:t>
      </w:r>
      <w:r>
        <w:rPr>
          <w:spacing w:val="12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实施驯鹿种源繁育保护工程，建设驯鹿良种繁育和防疫检疫中心，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引进优良驯鹿对种群进行改良，做好良种繁育、疾病防治、提纯</w:t>
      </w:r>
      <w:r>
        <w:rPr>
          <w:spacing w:val="5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扶壮等工作。加快驯鹿引种繁育中心建设，在林区建设驯鹿生态</w:t>
      </w:r>
      <w:r>
        <w:rPr>
          <w:spacing w:val="5"/>
          <w:sz w:val="30"/>
          <w:szCs w:val="30"/>
        </w:rPr>
        <w:t xml:space="preserve">  </w:t>
      </w:r>
      <w:r>
        <w:rPr>
          <w:spacing w:val="-3"/>
          <w:sz w:val="30"/>
          <w:szCs w:val="30"/>
        </w:rPr>
        <w:t>廊道。</w:t>
      </w:r>
    </w:p>
    <w:p>
      <w:pPr>
        <w:pStyle w:val="2"/>
        <w:spacing w:before="43" w:line="215" w:lineRule="auto"/>
        <w:ind w:left="618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b/>
          <w:bCs/>
          <w:spacing w:val="-40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、生态工业创新创优</w:t>
      </w:r>
    </w:p>
    <w:p>
      <w:pPr>
        <w:pStyle w:val="2"/>
        <w:spacing w:before="172" w:line="217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1</w:t>
      </w:r>
      <w:r>
        <w:rPr>
          <w:spacing w:val="-1"/>
          <w:sz w:val="30"/>
          <w:szCs w:val="30"/>
        </w:rPr>
        <w:t>）绿色食品加工</w:t>
      </w:r>
    </w:p>
    <w:p>
      <w:pPr>
        <w:pStyle w:val="2"/>
        <w:spacing w:before="169" w:line="316" w:lineRule="auto"/>
        <w:ind w:left="17" w:right="193" w:firstLine="615"/>
        <w:rPr>
          <w:sz w:val="30"/>
          <w:szCs w:val="30"/>
        </w:rPr>
      </w:pPr>
      <w:r>
        <w:rPr>
          <w:spacing w:val="-8"/>
          <w:sz w:val="30"/>
          <w:szCs w:val="30"/>
        </w:rPr>
        <w:t>充分利用丰富的林下资源，积极培育发展以</w:t>
      </w:r>
      <w:r>
        <w:rPr>
          <w:spacing w:val="-23"/>
          <w:sz w:val="30"/>
          <w:szCs w:val="30"/>
        </w:rPr>
        <w:t xml:space="preserve"> </w:t>
      </w:r>
      <w:r>
        <w:rPr>
          <w:spacing w:val="-8"/>
          <w:sz w:val="30"/>
          <w:szCs w:val="30"/>
        </w:rPr>
        <w:t>卜留克、蓝莓、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矿（山）泉水、灵芝、黑木耳为主的绿色食品加工业，推动矿泉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水品牌化高端化发展。以现有加工企业为基础，加大绿色食品产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业基地建设，抓好规模化、集约化、标准化生产和经营，延长产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业链条，拓宽销售渠道，完善服务体系。围绕满足不同消费群体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的多元化、个性化需求，调整产品结构，发挥天然、绿色、有机</w:t>
      </w:r>
      <w:r>
        <w:rPr>
          <w:spacing w:val="13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优势，提高绿色食品精细化、高端化、稀缺</w:t>
      </w:r>
      <w:r>
        <w:rPr>
          <w:spacing w:val="-3"/>
          <w:sz w:val="30"/>
          <w:szCs w:val="30"/>
        </w:rPr>
        <w:t>化、品牌化的比重，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形成具有市场竞争力的优势产业。</w:t>
      </w:r>
    </w:p>
    <w:p>
      <w:pPr>
        <w:pStyle w:val="2"/>
        <w:spacing w:before="50" w:line="218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2</w:t>
      </w:r>
      <w:r>
        <w:rPr>
          <w:spacing w:val="-1"/>
          <w:sz w:val="30"/>
          <w:szCs w:val="30"/>
        </w:rPr>
        <w:t>）绿色矿业</w:t>
      </w:r>
    </w:p>
    <w:p>
      <w:pPr>
        <w:pStyle w:val="2"/>
        <w:spacing w:before="167" w:line="213" w:lineRule="auto"/>
        <w:ind w:left="622"/>
        <w:rPr>
          <w:sz w:val="30"/>
          <w:szCs w:val="30"/>
        </w:rPr>
      </w:pPr>
      <w:r>
        <w:rPr>
          <w:spacing w:val="-4"/>
          <w:sz w:val="30"/>
          <w:szCs w:val="30"/>
        </w:rPr>
        <w:t>促进矿产开发业绿色化发展，加强地质环境保护。鼓励矿山</w:t>
      </w:r>
    </w:p>
    <w:p>
      <w:pPr>
        <w:spacing w:line="213" w:lineRule="auto"/>
        <w:rPr>
          <w:sz w:val="30"/>
          <w:szCs w:val="30"/>
        </w:rPr>
        <w:sectPr>
          <w:headerReference r:id="rId82" w:type="default"/>
          <w:footerReference r:id="rId83" w:type="default"/>
          <w:pgSz w:w="11906" w:h="16839"/>
          <w:pgMar w:top="1191" w:right="1572" w:bottom="1152" w:left="1785" w:header="882" w:footer="987" w:gutter="0"/>
          <w:cols w:space="720" w:num="1"/>
        </w:sectPr>
      </w:pPr>
    </w:p>
    <w:p>
      <w:pPr>
        <w:spacing w:line="313" w:lineRule="auto"/>
        <w:rPr>
          <w:rFonts w:ascii="Arial"/>
          <w:sz w:val="21"/>
        </w:rPr>
      </w:pPr>
    </w:p>
    <w:p>
      <w:pPr>
        <w:pStyle w:val="2"/>
        <w:spacing w:before="98" w:line="315" w:lineRule="auto"/>
        <w:ind w:left="24" w:right="162" w:firstLine="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企业优化产业布局和经营结构，实现矿山发展生态化、生产经营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集约化、资源利用循环化、企业管理现代化的资源开发模式，推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进矿山资源整合及优化配置。推进企业结合生产实际谋划节能技</w:t>
      </w:r>
      <w:r>
        <w:rPr>
          <w:spacing w:val="6"/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术改造项目，构建绿色化低碳化产业体系，有效提高企业竞争力，</w:t>
      </w:r>
      <w:r>
        <w:rPr>
          <w:spacing w:val="1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推动产业升级。进一步推动矿容矿貌修复、资源开发综合利</w:t>
      </w:r>
      <w:r>
        <w:rPr>
          <w:spacing w:val="-2"/>
          <w:sz w:val="30"/>
          <w:szCs w:val="30"/>
        </w:rPr>
        <w:t>用、</w:t>
      </w:r>
      <w:r>
        <w:rPr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节能减排、矿山地质环境恢复治理、科技创新与数字化矿山建设，</w:t>
      </w:r>
      <w:r>
        <w:rPr>
          <w:spacing w:val="18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全面建成绿色矿山。</w:t>
      </w:r>
    </w:p>
    <w:p>
      <w:pPr>
        <w:pStyle w:val="2"/>
        <w:spacing w:before="52" w:line="216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3</w:t>
      </w:r>
      <w:r>
        <w:rPr>
          <w:spacing w:val="-1"/>
          <w:sz w:val="30"/>
          <w:szCs w:val="30"/>
        </w:rPr>
        <w:t>）木材精深加工</w:t>
      </w:r>
    </w:p>
    <w:p>
      <w:pPr>
        <w:pStyle w:val="2"/>
        <w:spacing w:before="169" w:line="316" w:lineRule="auto"/>
        <w:ind w:left="22" w:right="238" w:firstLine="603"/>
        <w:rPr>
          <w:sz w:val="30"/>
          <w:szCs w:val="30"/>
        </w:rPr>
      </w:pPr>
      <w:r>
        <w:rPr>
          <w:spacing w:val="-4"/>
          <w:sz w:val="30"/>
          <w:szCs w:val="30"/>
        </w:rPr>
        <w:t>推进林木加工业转型发展，加快资源型产业绿色化改</w:t>
      </w:r>
      <w:r>
        <w:rPr>
          <w:spacing w:val="-5"/>
          <w:sz w:val="30"/>
          <w:szCs w:val="30"/>
        </w:rPr>
        <w:t>造。围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绕产业延伸、产业升级，加大技术改造和自主创新力度，加强资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源集约利用、促进产品提档升级，提高资源综合利用率和产品附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加值，逐步形成以装配式现代结构建筑为主，以木制工艺品、小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件产品为辅的产业结构，推动林木加工业向高端化、智能化、精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深化迈进。结合旅游景区开发建设专业配套产品，发展以木结构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房屋、木栈道等产品为主导的实木精深加工企业，促进林产工业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向森林旅游工业多元化方向发展。</w:t>
      </w:r>
    </w:p>
    <w:p>
      <w:pPr>
        <w:pStyle w:val="2"/>
        <w:spacing w:before="52" w:line="214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7"/>
          <w:sz w:val="30"/>
          <w:szCs w:val="30"/>
        </w:rPr>
        <w:t>4</w:t>
      </w:r>
      <w:r>
        <w:rPr>
          <w:rFonts w:ascii="Times New Roman" w:hAnsi="Times New Roman" w:eastAsia="Times New Roman" w:cs="Times New Roman"/>
          <w:b/>
          <w:bCs/>
          <w:spacing w:val="-34"/>
          <w:sz w:val="30"/>
          <w:szCs w:val="30"/>
        </w:rPr>
        <w:t xml:space="preserve"> </w:t>
      </w:r>
      <w:r>
        <w:rPr>
          <w:b/>
          <w:bCs/>
          <w:spacing w:val="-7"/>
          <w:sz w:val="30"/>
          <w:szCs w:val="30"/>
        </w:rPr>
        <w:t>、生态旅游提标提效</w:t>
      </w:r>
    </w:p>
    <w:p>
      <w:pPr>
        <w:pStyle w:val="2"/>
        <w:spacing w:before="173" w:line="214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1</w:t>
      </w:r>
      <w:r>
        <w:rPr>
          <w:spacing w:val="-1"/>
          <w:sz w:val="30"/>
          <w:szCs w:val="30"/>
        </w:rPr>
        <w:t>）文化旅游</w:t>
      </w:r>
    </w:p>
    <w:p>
      <w:pPr>
        <w:pStyle w:val="2"/>
        <w:spacing w:before="171" w:line="316" w:lineRule="auto"/>
        <w:ind w:left="23" w:firstLine="601"/>
        <w:rPr>
          <w:sz w:val="30"/>
          <w:szCs w:val="30"/>
        </w:rPr>
      </w:pPr>
      <w:r>
        <w:rPr>
          <w:spacing w:val="-4"/>
          <w:sz w:val="30"/>
          <w:szCs w:val="30"/>
        </w:rPr>
        <w:t>全面提升全域全季全业发展水平。深化品牌创建，加强</w:t>
      </w:r>
      <w:r>
        <w:rPr>
          <w:spacing w:val="-5"/>
          <w:sz w:val="30"/>
          <w:szCs w:val="30"/>
        </w:rPr>
        <w:t>旅游</w:t>
      </w:r>
      <w:r>
        <w:rPr>
          <w:sz w:val="30"/>
          <w:szCs w:val="30"/>
        </w:rPr>
        <w:t xml:space="preserve">  </w:t>
      </w:r>
      <w:r>
        <w:rPr>
          <w:spacing w:val="5"/>
          <w:sz w:val="30"/>
          <w:szCs w:val="30"/>
        </w:rPr>
        <w:t>宣传，充分营造“森林之城、驯鹿之乡、养生胜地</w:t>
      </w:r>
      <w:r>
        <w:rPr>
          <w:spacing w:val="4"/>
          <w:sz w:val="30"/>
          <w:szCs w:val="30"/>
        </w:rPr>
        <w:t>、中国冷极”</w:t>
      </w:r>
      <w:r>
        <w:rPr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旅游形象，打响根河文旅品牌，不断提升根河市文</w:t>
      </w:r>
      <w:r>
        <w:rPr>
          <w:sz w:val="30"/>
          <w:szCs w:val="30"/>
        </w:rPr>
        <w:t xml:space="preserve">旅市场名气。 </w:t>
      </w:r>
      <w:r>
        <w:rPr>
          <w:spacing w:val="-6"/>
          <w:sz w:val="30"/>
          <w:szCs w:val="30"/>
        </w:rPr>
        <w:t>完善旅游基础设施和公共服务设施建设，优化旅游服务标准体系，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推动旅游服务向标准化、个性化优质服务转变，开展国家级旅游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度假区、国家级文化产业和旅游产业融合发展示范区创建。打造</w:t>
      </w:r>
      <w:r>
        <w:rPr>
          <w:spacing w:val="4"/>
          <w:sz w:val="30"/>
          <w:szCs w:val="30"/>
        </w:rPr>
        <w:t xml:space="preserve">  </w:t>
      </w:r>
      <w:r>
        <w:rPr>
          <w:spacing w:val="-8"/>
          <w:sz w:val="30"/>
          <w:szCs w:val="30"/>
        </w:rPr>
        <w:t>贯穿根河市全域、文化底蕴深厚、特色景观优美、互动体验良好、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带动效应明显的特色旅游线路，以及中国冷极体验、驯鹿文化觅</w:t>
      </w:r>
    </w:p>
    <w:p>
      <w:pPr>
        <w:spacing w:line="316" w:lineRule="auto"/>
        <w:rPr>
          <w:sz w:val="30"/>
          <w:szCs w:val="30"/>
        </w:rPr>
        <w:sectPr>
          <w:headerReference r:id="rId84" w:type="default"/>
          <w:footerReference r:id="rId85" w:type="default"/>
          <w:pgSz w:w="11906" w:h="16839"/>
          <w:pgMar w:top="1191" w:right="1560" w:bottom="1152" w:left="1785" w:header="882" w:footer="987" w:gutter="0"/>
          <w:cols w:space="720" w:num="1"/>
        </w:sectPr>
      </w:pPr>
    </w:p>
    <w:p>
      <w:pPr>
        <w:spacing w:line="305" w:lineRule="auto"/>
        <w:rPr>
          <w:rFonts w:ascii="Arial"/>
          <w:sz w:val="21"/>
        </w:rPr>
      </w:pPr>
    </w:p>
    <w:p>
      <w:pPr>
        <w:pStyle w:val="2"/>
        <w:spacing w:before="98" w:line="313" w:lineRule="auto"/>
        <w:ind w:left="25" w:right="293" w:firstLine="8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踪、历史文化探秘、森林生态文化研学等旅游产品。充分</w:t>
      </w:r>
      <w:r>
        <w:rPr>
          <w:spacing w:val="-5"/>
          <w:sz w:val="30"/>
          <w:szCs w:val="30"/>
        </w:rPr>
        <w:t>利用新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媒体平台推动文旅宣传纵深发展，线上、线下综合开展特色民俗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文化、旅游产品、特色体验项目及精品线路等主题宣传及旅游推</w:t>
      </w:r>
      <w:r>
        <w:rPr>
          <w:spacing w:val="5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介，不断扩大知名度。</w:t>
      </w:r>
    </w:p>
    <w:p>
      <w:pPr>
        <w:pStyle w:val="2"/>
        <w:spacing w:before="48" w:line="305" w:lineRule="auto"/>
        <w:ind w:left="29" w:right="273" w:firstLine="637"/>
        <w:rPr>
          <w:sz w:val="30"/>
          <w:szCs w:val="30"/>
        </w:rPr>
      </w:pPr>
      <w:r>
        <w:rPr>
          <w:spacing w:val="-6"/>
          <w:sz w:val="30"/>
          <w:szCs w:val="30"/>
        </w:rPr>
        <w:t>以冰雪旅游为主题，着力打造中国冷极冬季冰雪产业，树立</w:t>
      </w:r>
      <w:r>
        <w:rPr>
          <w:spacing w:val="8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冷极文化品牌，展示冷资源魅力。充分深挖冬季旅</w:t>
      </w:r>
      <w:r>
        <w:rPr>
          <w:spacing w:val="-4"/>
          <w:sz w:val="30"/>
          <w:szCs w:val="30"/>
        </w:rPr>
        <w:t>游特色资源，</w:t>
      </w:r>
    </w:p>
    <w:p>
      <w:pPr>
        <w:pStyle w:val="2"/>
        <w:spacing w:before="48" w:line="310" w:lineRule="auto"/>
        <w:ind w:left="25" w:firstLine="3"/>
        <w:rPr>
          <w:sz w:val="30"/>
          <w:szCs w:val="30"/>
        </w:rPr>
      </w:pPr>
      <w:r>
        <w:rPr>
          <w:spacing w:val="-4"/>
          <w:sz w:val="30"/>
          <w:szCs w:val="30"/>
        </w:rPr>
        <w:t>打造冷极村景区和冬季旅游精品线路，推出常态化冬季文化旅游</w:t>
      </w:r>
      <w:r>
        <w:rPr>
          <w:sz w:val="30"/>
          <w:szCs w:val="30"/>
        </w:rPr>
        <w:t xml:space="preserve">   </w:t>
      </w:r>
      <w:r>
        <w:rPr>
          <w:spacing w:val="-1"/>
          <w:sz w:val="30"/>
          <w:szCs w:val="30"/>
        </w:rPr>
        <w:t>产品，积极打造“冰雪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+</w:t>
      </w:r>
      <w:r>
        <w:rPr>
          <w:spacing w:val="-1"/>
          <w:sz w:val="30"/>
          <w:szCs w:val="30"/>
        </w:rPr>
        <w:t>文旅”“冰雪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+</w:t>
      </w:r>
      <w:r>
        <w:rPr>
          <w:spacing w:val="-1"/>
          <w:sz w:val="30"/>
          <w:szCs w:val="30"/>
        </w:rPr>
        <w:t>休闲体验”“冰雪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+</w:t>
      </w:r>
      <w:r>
        <w:rPr>
          <w:spacing w:val="-1"/>
          <w:sz w:val="30"/>
          <w:szCs w:val="30"/>
        </w:rPr>
        <w:t>会展”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“冰雪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+</w:t>
      </w:r>
      <w:r>
        <w:rPr>
          <w:spacing w:val="-1"/>
          <w:sz w:val="30"/>
          <w:szCs w:val="30"/>
        </w:rPr>
        <w:t>体育”深度融合的冰雪休闲文旅产业链条。</w:t>
      </w:r>
    </w:p>
    <w:p>
      <w:pPr>
        <w:pStyle w:val="2"/>
        <w:spacing w:before="46" w:line="314" w:lineRule="auto"/>
        <w:ind w:left="25" w:right="266" w:firstLine="641"/>
        <w:rPr>
          <w:sz w:val="30"/>
          <w:szCs w:val="30"/>
        </w:rPr>
      </w:pPr>
      <w:r>
        <w:rPr>
          <w:spacing w:val="-5"/>
          <w:sz w:val="30"/>
          <w:szCs w:val="30"/>
        </w:rPr>
        <w:t>以鄂温克族文化为主题，重点打造敖鲁古雅使鹿部落景区。</w:t>
      </w:r>
      <w:r>
        <w:rPr>
          <w:spacing w:val="10"/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加大对民族手工艺品等文化旅游商品的开发及文创企业的扶持</w:t>
      </w:r>
      <w:r>
        <w:rPr>
          <w:spacing w:val="4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力度，打造突出根河主题</w:t>
      </w:r>
      <w:r>
        <w:rPr>
          <w:spacing w:val="-6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>IP</w:t>
      </w:r>
      <w:r>
        <w:rPr>
          <w:rFonts w:ascii="Times New Roman" w:hAnsi="Times New Roman" w:eastAsia="Times New Roman" w:cs="Times New Roman"/>
          <w:spacing w:val="38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的非遗文创品牌，在国家级非</w:t>
      </w:r>
      <w:r>
        <w:rPr>
          <w:sz w:val="30"/>
          <w:szCs w:val="30"/>
        </w:rPr>
        <w:t xml:space="preserve">物质 </w:t>
      </w:r>
      <w:r>
        <w:rPr>
          <w:spacing w:val="-4"/>
          <w:sz w:val="30"/>
          <w:szCs w:val="30"/>
        </w:rPr>
        <w:t>文化遗产中心打造非遗文化体验馆，制作推出根河特色系列文创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产品。</w:t>
      </w:r>
    </w:p>
    <w:p>
      <w:pPr>
        <w:pStyle w:val="2"/>
        <w:spacing w:before="51" w:line="312" w:lineRule="auto"/>
        <w:ind w:left="23" w:right="293" w:firstLine="643"/>
        <w:rPr>
          <w:sz w:val="30"/>
          <w:szCs w:val="30"/>
        </w:rPr>
      </w:pPr>
      <w:r>
        <w:rPr>
          <w:spacing w:val="-6"/>
          <w:sz w:val="30"/>
          <w:szCs w:val="30"/>
        </w:rPr>
        <w:t>以森林旅游为主题，全力建设国内一流的森林生态旅游目的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地。重点建设汗马国家级自然保护区、阿龙山奥科里堆山、满归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伊克萨玛风景区、根河源国家湿地公园、得耳布尔卡鲁奔金色河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谷等景区和林业生产作业示范景区。</w:t>
      </w:r>
    </w:p>
    <w:p>
      <w:pPr>
        <w:pStyle w:val="2"/>
        <w:spacing w:before="52" w:line="214" w:lineRule="auto"/>
        <w:ind w:left="619"/>
        <w:rPr>
          <w:sz w:val="30"/>
          <w:szCs w:val="30"/>
        </w:rPr>
      </w:pPr>
      <w:r>
        <w:rPr>
          <w:spacing w:val="14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2</w:t>
      </w:r>
      <w:r>
        <w:rPr>
          <w:spacing w:val="14"/>
          <w:sz w:val="30"/>
          <w:szCs w:val="30"/>
        </w:rPr>
        <w:t>）“旅游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+</w:t>
      </w:r>
      <w:r>
        <w:rPr>
          <w:rFonts w:ascii="Times New Roman" w:hAnsi="Times New Roman" w:eastAsia="Times New Roman" w:cs="Times New Roman"/>
          <w:spacing w:val="-49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”</w:t>
      </w:r>
    </w:p>
    <w:p>
      <w:pPr>
        <w:pStyle w:val="2"/>
        <w:spacing w:before="174" w:line="312" w:lineRule="auto"/>
        <w:ind w:left="23" w:right="293" w:firstLine="597"/>
        <w:rPr>
          <w:sz w:val="30"/>
          <w:szCs w:val="30"/>
        </w:rPr>
      </w:pPr>
      <w:r>
        <w:rPr>
          <w:spacing w:val="-4"/>
          <w:sz w:val="30"/>
          <w:szCs w:val="30"/>
        </w:rPr>
        <w:t>依托独特的民族文化资源、农业资源，把田园风光、农业文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化、农产品等转化为旅游产品，探索木屋民宿、房车露营、生态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采摘等“农业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+</w:t>
      </w:r>
      <w:r>
        <w:rPr>
          <w:spacing w:val="-1"/>
          <w:sz w:val="30"/>
          <w:szCs w:val="30"/>
        </w:rPr>
        <w:t>旅游”</w:t>
      </w:r>
      <w:r>
        <w:rPr>
          <w:spacing w:val="-96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的发展新业态，不断推进休闲农业和乡村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旅游融合发展，促进群众增收致富。</w:t>
      </w:r>
    </w:p>
    <w:p>
      <w:pPr>
        <w:pStyle w:val="2"/>
        <w:spacing w:before="53" w:line="309" w:lineRule="auto"/>
        <w:ind w:left="20" w:firstLine="608"/>
        <w:rPr>
          <w:sz w:val="30"/>
          <w:szCs w:val="30"/>
        </w:rPr>
      </w:pPr>
      <w:r>
        <w:rPr>
          <w:spacing w:val="1"/>
          <w:sz w:val="30"/>
          <w:szCs w:val="30"/>
        </w:rPr>
        <w:t>积极推动“冬季旅游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>+</w:t>
      </w:r>
      <w:r>
        <w:rPr>
          <w:spacing w:val="1"/>
          <w:sz w:val="30"/>
          <w:szCs w:val="30"/>
        </w:rPr>
        <w:t>冰雪体育”融合发展，大力</w:t>
      </w:r>
      <w:r>
        <w:rPr>
          <w:sz w:val="30"/>
          <w:szCs w:val="30"/>
        </w:rPr>
        <w:t xml:space="preserve">推广速度   </w:t>
      </w:r>
      <w:r>
        <w:rPr>
          <w:spacing w:val="-4"/>
          <w:sz w:val="30"/>
          <w:szCs w:val="30"/>
        </w:rPr>
        <w:t>滑冰、越野滑雪等观赏性强的冰雪运动，举办“中国冷极马拉松”</w:t>
      </w:r>
      <w:r>
        <w:rPr>
          <w:spacing w:val="9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赛事等系列活动，加大冰雪运动基础设施投入</w:t>
      </w:r>
      <w:r>
        <w:rPr>
          <w:spacing w:val="-6"/>
          <w:sz w:val="30"/>
          <w:szCs w:val="30"/>
        </w:rPr>
        <w:t>，着力打造“</w:t>
      </w:r>
      <w:r>
        <w:rPr>
          <w:spacing w:val="-103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中国</w:t>
      </w:r>
    </w:p>
    <w:p>
      <w:pPr>
        <w:spacing w:line="309" w:lineRule="auto"/>
        <w:rPr>
          <w:sz w:val="30"/>
          <w:szCs w:val="30"/>
        </w:rPr>
        <w:sectPr>
          <w:headerReference r:id="rId86" w:type="default"/>
          <w:footerReference r:id="rId87" w:type="default"/>
          <w:pgSz w:w="11906" w:h="16839"/>
          <w:pgMar w:top="1191" w:right="1505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216" w:lineRule="auto"/>
        <w:ind w:left="29"/>
        <w:rPr>
          <w:sz w:val="30"/>
          <w:szCs w:val="30"/>
        </w:rPr>
      </w:pPr>
      <w:r>
        <w:rPr>
          <w:spacing w:val="-2"/>
          <w:sz w:val="30"/>
          <w:szCs w:val="30"/>
        </w:rPr>
        <w:t>冷极”冰雪运动之乡。</w:t>
      </w:r>
    </w:p>
    <w:p>
      <w:pPr>
        <w:pStyle w:val="2"/>
        <w:spacing w:before="169" w:line="214" w:lineRule="auto"/>
        <w:ind w:left="624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7"/>
          <w:sz w:val="30"/>
          <w:szCs w:val="30"/>
        </w:rPr>
        <w:t>5</w:t>
      </w:r>
      <w:r>
        <w:rPr>
          <w:rFonts w:ascii="Times New Roman" w:hAnsi="Times New Roman" w:eastAsia="Times New Roman" w:cs="Times New Roman"/>
          <w:b/>
          <w:bCs/>
          <w:spacing w:val="-37"/>
          <w:sz w:val="30"/>
          <w:szCs w:val="30"/>
        </w:rPr>
        <w:t xml:space="preserve"> </w:t>
      </w:r>
      <w:r>
        <w:rPr>
          <w:b/>
          <w:bCs/>
          <w:spacing w:val="-7"/>
          <w:sz w:val="30"/>
          <w:szCs w:val="30"/>
        </w:rPr>
        <w:t>、新兴产业集约集聚</w:t>
      </w:r>
    </w:p>
    <w:p>
      <w:pPr>
        <w:pStyle w:val="2"/>
        <w:spacing w:before="173" w:line="214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1</w:t>
      </w:r>
      <w:r>
        <w:rPr>
          <w:spacing w:val="-1"/>
          <w:sz w:val="30"/>
          <w:szCs w:val="30"/>
        </w:rPr>
        <w:t>）商贸服务</w:t>
      </w:r>
    </w:p>
    <w:p>
      <w:pPr>
        <w:pStyle w:val="2"/>
        <w:spacing w:before="165" w:line="316" w:lineRule="auto"/>
        <w:ind w:left="25" w:right="145" w:firstLine="612"/>
        <w:rPr>
          <w:sz w:val="30"/>
          <w:szCs w:val="30"/>
        </w:rPr>
      </w:pPr>
      <w:r>
        <w:rPr>
          <w:spacing w:val="-1"/>
          <w:sz w:val="30"/>
          <w:szCs w:val="30"/>
        </w:rPr>
        <w:t>大力发展“互联网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+</w:t>
      </w:r>
      <w:r>
        <w:rPr>
          <w:rFonts w:ascii="Times New Roman" w:hAnsi="Times New Roman" w:eastAsia="Times New Roman" w:cs="Times New Roman"/>
          <w:spacing w:val="-40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”电子商务，加快数字经济建设，推动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互联网、大数据、人工智能和实体经济深度融合。加快文化旅游</w:t>
      </w:r>
      <w:r>
        <w:rPr>
          <w:spacing w:val="5"/>
          <w:sz w:val="30"/>
          <w:szCs w:val="30"/>
        </w:rPr>
        <w:t xml:space="preserve"> </w:t>
      </w:r>
      <w:r>
        <w:rPr>
          <w:spacing w:val="-7"/>
          <w:sz w:val="30"/>
          <w:szCs w:val="30"/>
        </w:rPr>
        <w:t>智慧应用系统建设，推动“互联网</w:t>
      </w:r>
      <w:r>
        <w:rPr>
          <w:rFonts w:ascii="Times New Roman" w:hAnsi="Times New Roman" w:eastAsia="Times New Roman" w:cs="Times New Roman"/>
          <w:spacing w:val="-7"/>
          <w:sz w:val="30"/>
          <w:szCs w:val="30"/>
        </w:rPr>
        <w:t>+</w:t>
      </w:r>
      <w:r>
        <w:rPr>
          <w:rFonts w:ascii="Times New Roman" w:hAnsi="Times New Roman" w:eastAsia="Times New Roman" w:cs="Times New Roman"/>
          <w:spacing w:val="-53"/>
          <w:sz w:val="30"/>
          <w:szCs w:val="30"/>
        </w:rPr>
        <w:t xml:space="preserve"> </w:t>
      </w:r>
      <w:r>
        <w:rPr>
          <w:spacing w:val="-7"/>
          <w:sz w:val="30"/>
          <w:szCs w:val="30"/>
        </w:rPr>
        <w:t>”文化旅游，完</w:t>
      </w:r>
      <w:r>
        <w:rPr>
          <w:spacing w:val="-8"/>
          <w:sz w:val="30"/>
          <w:szCs w:val="30"/>
        </w:rPr>
        <w:t>善电子景区、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智慧旅游建设。加强电子商务平台综合建设，积极开展地域专区</w:t>
      </w:r>
      <w:r>
        <w:rPr>
          <w:spacing w:val="5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推广活动，拓宽林下产品销售渠道。深化物流信息资源互通共享，</w:t>
      </w:r>
      <w:r>
        <w:rPr>
          <w:spacing w:val="1"/>
          <w:sz w:val="30"/>
          <w:szCs w:val="30"/>
        </w:rPr>
        <w:t xml:space="preserve"> </w:t>
      </w:r>
      <w:r>
        <w:rPr>
          <w:sz w:val="30"/>
          <w:szCs w:val="30"/>
        </w:rPr>
        <w:t>推动“互联网</w:t>
      </w:r>
      <w:r>
        <w:rPr>
          <w:rFonts w:ascii="Times New Roman" w:hAnsi="Times New Roman" w:eastAsia="Times New Roman" w:cs="Times New Roman"/>
          <w:sz w:val="30"/>
          <w:szCs w:val="30"/>
        </w:rPr>
        <w:t>+</w:t>
      </w:r>
      <w:r>
        <w:rPr>
          <w:rFonts w:ascii="Times New Roman" w:hAnsi="Times New Roman" w:eastAsia="Times New Roman" w:cs="Times New Roman"/>
          <w:spacing w:val="-51"/>
          <w:sz w:val="30"/>
          <w:szCs w:val="30"/>
        </w:rPr>
        <w:t xml:space="preserve"> </w:t>
      </w:r>
      <w:r>
        <w:rPr>
          <w:sz w:val="30"/>
          <w:szCs w:val="30"/>
        </w:rPr>
        <w:t xml:space="preserve">”现代物流，进一步降低物流成本、提高物流运 </w:t>
      </w:r>
      <w:r>
        <w:rPr>
          <w:spacing w:val="-3"/>
          <w:sz w:val="30"/>
          <w:szCs w:val="30"/>
        </w:rPr>
        <w:t>行效率。</w:t>
      </w:r>
    </w:p>
    <w:p>
      <w:pPr>
        <w:pStyle w:val="2"/>
        <w:spacing w:before="52" w:line="216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2</w:t>
      </w:r>
      <w:r>
        <w:rPr>
          <w:spacing w:val="-1"/>
          <w:sz w:val="30"/>
          <w:szCs w:val="30"/>
        </w:rPr>
        <w:t>）极寒测试</w:t>
      </w:r>
    </w:p>
    <w:p>
      <w:pPr>
        <w:pStyle w:val="2"/>
        <w:spacing w:before="167" w:line="314" w:lineRule="auto"/>
        <w:ind w:left="26" w:firstLine="595"/>
        <w:rPr>
          <w:sz w:val="30"/>
          <w:szCs w:val="30"/>
        </w:rPr>
      </w:pPr>
      <w:r>
        <w:rPr>
          <w:spacing w:val="-6"/>
          <w:sz w:val="30"/>
          <w:szCs w:val="30"/>
        </w:rPr>
        <w:t>利用丰富的冷资源，积极发展工业品极寒耐冷</w:t>
      </w:r>
      <w:r>
        <w:rPr>
          <w:spacing w:val="-7"/>
          <w:sz w:val="30"/>
          <w:szCs w:val="30"/>
        </w:rPr>
        <w:t>检验检测产业。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深化与中国直升机设计研究所、西安试飞院等科研单位合作，开</w:t>
      </w:r>
      <w:r>
        <w:rPr>
          <w:spacing w:val="2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展极寒环境下飞行器、汽车等工业品耐寒性测试和研究。积极推</w:t>
      </w:r>
      <w:r>
        <w:rPr>
          <w:spacing w:val="2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动飞行器极寒测试基地建设，做好高寒测试保障服务，进一步做</w:t>
      </w:r>
      <w:r>
        <w:rPr>
          <w:spacing w:val="2"/>
          <w:sz w:val="30"/>
          <w:szCs w:val="30"/>
        </w:rPr>
        <w:t xml:space="preserve">  </w:t>
      </w:r>
      <w:r>
        <w:rPr>
          <w:spacing w:val="-2"/>
          <w:sz w:val="30"/>
          <w:szCs w:val="30"/>
        </w:rPr>
        <w:t>大做强极寒测试产业。</w:t>
      </w:r>
    </w:p>
    <w:p>
      <w:pPr>
        <w:pStyle w:val="2"/>
        <w:spacing w:before="50" w:line="214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3</w:t>
      </w:r>
      <w:r>
        <w:rPr>
          <w:spacing w:val="-1"/>
          <w:sz w:val="30"/>
          <w:szCs w:val="30"/>
        </w:rPr>
        <w:t>）降碳减排</w:t>
      </w:r>
    </w:p>
    <w:p>
      <w:pPr>
        <w:pStyle w:val="2"/>
        <w:spacing w:before="173" w:line="312" w:lineRule="auto"/>
        <w:ind w:left="33" w:right="234" w:firstLine="588"/>
        <w:rPr>
          <w:sz w:val="30"/>
          <w:szCs w:val="30"/>
        </w:rPr>
      </w:pPr>
      <w:r>
        <w:rPr>
          <w:spacing w:val="-4"/>
          <w:sz w:val="30"/>
          <w:szCs w:val="30"/>
        </w:rPr>
        <w:t>依托丰富的森林资源，推动林业碳汇产业乘时乘势发展。强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化森林草原资源保护管理，巩固提升森林资源碳汇能力。开</w:t>
      </w:r>
      <w:r>
        <w:rPr>
          <w:spacing w:val="-5"/>
          <w:sz w:val="30"/>
          <w:szCs w:val="30"/>
        </w:rPr>
        <w:t>展碳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汇数据库建设，推动开发林业碳汇交易项目，研究探索碳汇</w:t>
      </w:r>
      <w:r>
        <w:rPr>
          <w:spacing w:val="-5"/>
          <w:sz w:val="30"/>
          <w:szCs w:val="30"/>
        </w:rPr>
        <w:t>交易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和生态保护补偿机制。</w:t>
      </w:r>
    </w:p>
    <w:p>
      <w:pPr>
        <w:pStyle w:val="2"/>
        <w:spacing w:before="52" w:line="312" w:lineRule="auto"/>
        <w:ind w:left="22" w:right="7" w:firstLine="609"/>
        <w:jc w:val="both"/>
        <w:rPr>
          <w:sz w:val="30"/>
          <w:szCs w:val="30"/>
        </w:rPr>
      </w:pPr>
      <w:r>
        <w:rPr>
          <w:spacing w:val="-7"/>
          <w:sz w:val="30"/>
          <w:szCs w:val="30"/>
        </w:rPr>
        <w:t>深挖冷资源优势，积极推动数据中心与清洁供热一体化项目，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利用天然气候环境为数据中心提供免费自然冷源，减少冷机开启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时间，节省运行电费。同时数据中心产生的余热可通过热泵机组</w:t>
      </w:r>
      <w:r>
        <w:rPr>
          <w:spacing w:val="4"/>
          <w:sz w:val="30"/>
          <w:szCs w:val="30"/>
        </w:rPr>
        <w:t xml:space="preserve">  </w:t>
      </w:r>
      <w:r>
        <w:rPr>
          <w:spacing w:val="-1"/>
          <w:sz w:val="30"/>
          <w:szCs w:val="30"/>
        </w:rPr>
        <w:t>为周边供暖，替代热电厂供热规模，减少热电厂的碳排放。</w:t>
      </w:r>
    </w:p>
    <w:p>
      <w:pPr>
        <w:spacing w:before="50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bookmarkStart w:id="75" w:name="bookmark54"/>
      <w:bookmarkEnd w:id="75"/>
      <w:r>
        <w:rPr>
          <w:rFonts w:ascii="黑体" w:hAnsi="黑体" w:eastAsia="黑体" w:cs="黑体"/>
          <w:spacing w:val="-3"/>
          <w:sz w:val="30"/>
          <w:szCs w:val="30"/>
        </w:rPr>
        <w:t>（二）强化资源高效循环利用</w:t>
      </w:r>
    </w:p>
    <w:p>
      <w:pPr>
        <w:spacing w:line="221" w:lineRule="auto"/>
        <w:rPr>
          <w:rFonts w:ascii="黑体" w:hAnsi="黑体" w:eastAsia="黑体" w:cs="黑体"/>
          <w:sz w:val="30"/>
          <w:szCs w:val="30"/>
        </w:rPr>
        <w:sectPr>
          <w:headerReference r:id="rId88" w:type="default"/>
          <w:footerReference r:id="rId89" w:type="default"/>
          <w:pgSz w:w="11906" w:h="16839"/>
          <w:pgMar w:top="1191" w:right="1565" w:bottom="1151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214" w:lineRule="auto"/>
        <w:ind w:left="633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8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b/>
          <w:bCs/>
          <w:spacing w:val="-36"/>
          <w:sz w:val="30"/>
          <w:szCs w:val="30"/>
        </w:rPr>
        <w:t xml:space="preserve"> </w:t>
      </w:r>
      <w:r>
        <w:rPr>
          <w:b/>
          <w:bCs/>
          <w:spacing w:val="-8"/>
          <w:sz w:val="30"/>
          <w:szCs w:val="30"/>
        </w:rPr>
        <w:t>、加强能源消耗管理</w:t>
      </w:r>
    </w:p>
    <w:p>
      <w:pPr>
        <w:pStyle w:val="2"/>
        <w:spacing w:before="170" w:line="315" w:lineRule="auto"/>
        <w:ind w:left="25" w:right="293" w:firstLine="600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优化完善能耗双控制度。进一步落实能源消耗双控制</w:t>
      </w:r>
      <w:r>
        <w:rPr>
          <w:spacing w:val="-5"/>
          <w:sz w:val="30"/>
          <w:szCs w:val="30"/>
        </w:rPr>
        <w:t>度，重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点加强煤炭消费总量控制。落实好国家、内蒙古自治区新增可再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生能源电力消费量不纳入能源消费总量考核、原料用能不纳入能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耗双控考核等政策，逐步实现能耗“双控”向碳排放总量和强度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“双控”转变。积极推动风电、太阳能、生物质能等可再生能源</w:t>
      </w:r>
      <w:r>
        <w:rPr>
          <w:spacing w:val="5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发展，提升非化石能源消费占比。</w:t>
      </w:r>
    </w:p>
    <w:p>
      <w:pPr>
        <w:pStyle w:val="2"/>
        <w:spacing w:before="52" w:line="316" w:lineRule="auto"/>
        <w:ind w:left="28" w:firstLine="616"/>
        <w:rPr>
          <w:sz w:val="30"/>
          <w:szCs w:val="30"/>
        </w:rPr>
      </w:pPr>
      <w:r>
        <w:rPr>
          <w:spacing w:val="-16"/>
          <w:sz w:val="30"/>
          <w:szCs w:val="30"/>
        </w:rPr>
        <w:t>强化高耗能项目准入管理。根据《内蒙古自治区坚决遏制“两</w:t>
      </w:r>
      <w:r>
        <w:rPr>
          <w:spacing w:val="2"/>
          <w:sz w:val="30"/>
          <w:szCs w:val="30"/>
        </w:rPr>
        <w:t xml:space="preserve">   </w:t>
      </w:r>
      <w:r>
        <w:rPr>
          <w:spacing w:val="-4"/>
          <w:sz w:val="30"/>
          <w:szCs w:val="30"/>
        </w:rPr>
        <w:t>高”项目低水平盲目发展管控目录》以及《呼伦贝尔市“十四五”</w:t>
      </w:r>
      <w:r>
        <w:rPr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节能规划》要求，制定根河市全市“两高”项目台账，开展重点</w:t>
      </w:r>
      <w:r>
        <w:rPr>
          <w:spacing w:val="1"/>
          <w:sz w:val="30"/>
          <w:szCs w:val="30"/>
        </w:rPr>
        <w:t xml:space="preserve">   </w:t>
      </w:r>
      <w:r>
        <w:rPr>
          <w:spacing w:val="-4"/>
          <w:sz w:val="30"/>
          <w:szCs w:val="30"/>
        </w:rPr>
        <w:t>企业节能审查，按时调度其能耗情况，实时掌握，动态管理。定</w:t>
      </w:r>
      <w:r>
        <w:rPr>
          <w:spacing w:val="1"/>
          <w:sz w:val="30"/>
          <w:szCs w:val="30"/>
        </w:rPr>
        <w:t xml:space="preserve">   </w:t>
      </w:r>
      <w:r>
        <w:rPr>
          <w:spacing w:val="-4"/>
          <w:sz w:val="30"/>
          <w:szCs w:val="30"/>
        </w:rPr>
        <w:t>期梳理全市固定资产投资项目节能审查开展情况，从严控制高耗</w:t>
      </w:r>
      <w:r>
        <w:rPr>
          <w:spacing w:val="1"/>
          <w:sz w:val="30"/>
          <w:szCs w:val="30"/>
        </w:rPr>
        <w:t xml:space="preserve">   </w:t>
      </w:r>
      <w:r>
        <w:rPr>
          <w:sz w:val="30"/>
          <w:szCs w:val="30"/>
        </w:rPr>
        <w:t>能、高排放、低水平项目上马。对年能耗</w:t>
      </w:r>
      <w:r>
        <w:rPr>
          <w:spacing w:val="-6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>3000</w:t>
      </w:r>
      <w:r>
        <w:rPr>
          <w:rFonts w:ascii="Times New Roman" w:hAnsi="Times New Roman" w:eastAsia="Times New Roman" w:cs="Times New Roman"/>
          <w:spacing w:val="29"/>
          <w:sz w:val="30"/>
          <w:szCs w:val="30"/>
        </w:rPr>
        <w:t xml:space="preserve"> </w:t>
      </w:r>
      <w:r>
        <w:rPr>
          <w:sz w:val="30"/>
          <w:szCs w:val="30"/>
        </w:rPr>
        <w:t>吨标煤及以</w:t>
      </w:r>
      <w:r>
        <w:rPr>
          <w:spacing w:val="-1"/>
          <w:sz w:val="30"/>
          <w:szCs w:val="30"/>
        </w:rPr>
        <w:t>上工</w:t>
      </w:r>
      <w:r>
        <w:rPr>
          <w:sz w:val="30"/>
          <w:szCs w:val="30"/>
        </w:rPr>
        <w:t xml:space="preserve">   </w:t>
      </w:r>
      <w:r>
        <w:rPr>
          <w:spacing w:val="-5"/>
          <w:sz w:val="30"/>
          <w:szCs w:val="30"/>
        </w:rPr>
        <w:t>业企业实施节能降碳绿色化改造，对实现年节能量</w:t>
      </w:r>
      <w:r>
        <w:rPr>
          <w:spacing w:val="-6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0"/>
          <w:szCs w:val="30"/>
        </w:rPr>
        <w:t>500</w:t>
      </w:r>
      <w:r>
        <w:rPr>
          <w:rFonts w:ascii="Times New Roman" w:hAnsi="Times New Roman" w:eastAsia="Times New Roman" w:cs="Times New Roman"/>
          <w:spacing w:val="29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吨标煤以</w:t>
      </w:r>
      <w:r>
        <w:rPr>
          <w:sz w:val="30"/>
          <w:szCs w:val="30"/>
        </w:rPr>
        <w:t xml:space="preserve">   </w:t>
      </w:r>
      <w:r>
        <w:rPr>
          <w:spacing w:val="-1"/>
          <w:sz w:val="30"/>
          <w:szCs w:val="30"/>
        </w:rPr>
        <w:t>上或单位产品能耗达到国家标杆水平的给与一定奖励。</w:t>
      </w:r>
    </w:p>
    <w:p>
      <w:pPr>
        <w:pStyle w:val="2"/>
        <w:spacing w:before="50" w:line="315" w:lineRule="auto"/>
        <w:ind w:left="22" w:right="66" w:firstLine="609"/>
        <w:rPr>
          <w:sz w:val="30"/>
          <w:szCs w:val="30"/>
        </w:rPr>
      </w:pPr>
      <w:r>
        <w:rPr>
          <w:spacing w:val="-7"/>
          <w:sz w:val="30"/>
          <w:szCs w:val="30"/>
        </w:rPr>
        <w:t>深入推动工业行业节能。严密监控工业企业能耗和能效水平，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按月统计，按季分析全市节能工作形势，建立重点用能单位月度</w:t>
      </w:r>
      <w:r>
        <w:rPr>
          <w:spacing w:val="4"/>
          <w:sz w:val="30"/>
          <w:szCs w:val="30"/>
        </w:rPr>
        <w:t xml:space="preserve">  </w:t>
      </w:r>
      <w:r>
        <w:rPr>
          <w:spacing w:val="-8"/>
          <w:sz w:val="30"/>
          <w:szCs w:val="30"/>
        </w:rPr>
        <w:t>报表制度，形成重点能耗企业电子管理档案。持续对铅锌矿采选、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热力生产和供应等行业实施落后产能淘汰和过剩产能压减。同时</w:t>
      </w:r>
      <w:r>
        <w:rPr>
          <w:spacing w:val="4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加快淘汰落后用能设备，建立约束机制，加大先进高效产品设备</w:t>
      </w:r>
      <w:r>
        <w:rPr>
          <w:spacing w:val="4"/>
          <w:sz w:val="30"/>
          <w:szCs w:val="30"/>
        </w:rPr>
        <w:t xml:space="preserve">  </w:t>
      </w:r>
      <w:r>
        <w:rPr>
          <w:spacing w:val="-2"/>
          <w:sz w:val="30"/>
          <w:szCs w:val="30"/>
        </w:rPr>
        <w:t>使用推广力度。</w:t>
      </w:r>
    </w:p>
    <w:p>
      <w:pPr>
        <w:pStyle w:val="2"/>
        <w:spacing w:before="50" w:line="312" w:lineRule="auto"/>
        <w:ind w:left="33" w:right="293" w:firstLine="592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加大清洁能源应用。加大电力、氢能、天然气等</w:t>
      </w:r>
      <w:r>
        <w:rPr>
          <w:spacing w:val="-5"/>
          <w:sz w:val="30"/>
          <w:szCs w:val="30"/>
        </w:rPr>
        <w:t>新能源和清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洁能源车辆在城市公交、出租汽车、城市配送、邮政快递、</w:t>
      </w:r>
      <w:r>
        <w:rPr>
          <w:spacing w:val="-5"/>
          <w:sz w:val="30"/>
          <w:szCs w:val="30"/>
        </w:rPr>
        <w:t>铁路</w:t>
      </w:r>
      <w:r>
        <w:rPr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货场、园林绿化等公共业务用车领域的应用。到</w:t>
      </w:r>
      <w:r>
        <w:rPr>
          <w:spacing w:val="-6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2030 </w:t>
      </w:r>
      <w:r>
        <w:rPr>
          <w:spacing w:val="1"/>
          <w:sz w:val="30"/>
          <w:szCs w:val="30"/>
        </w:rPr>
        <w:t>年，</w:t>
      </w:r>
      <w:r>
        <w:rPr>
          <w:sz w:val="30"/>
          <w:szCs w:val="30"/>
        </w:rPr>
        <w:t xml:space="preserve">新增 </w:t>
      </w:r>
      <w:r>
        <w:rPr>
          <w:spacing w:val="-1"/>
          <w:sz w:val="30"/>
          <w:szCs w:val="30"/>
        </w:rPr>
        <w:t>和更新公共汽电车中新能源和清洁能源车辆比例≥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80%</w:t>
      </w:r>
      <w:r>
        <w:rPr>
          <w:spacing w:val="-1"/>
          <w:sz w:val="30"/>
          <w:szCs w:val="30"/>
        </w:rPr>
        <w:t>。</w:t>
      </w:r>
    </w:p>
    <w:p>
      <w:pPr>
        <w:pStyle w:val="2"/>
        <w:spacing w:before="51" w:line="214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b/>
          <w:bCs/>
          <w:spacing w:val="-33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、持续推进节水型社会建设</w:t>
      </w:r>
    </w:p>
    <w:p>
      <w:pPr>
        <w:spacing w:line="214" w:lineRule="auto"/>
        <w:rPr>
          <w:sz w:val="30"/>
          <w:szCs w:val="30"/>
        </w:rPr>
        <w:sectPr>
          <w:headerReference r:id="rId90" w:type="default"/>
          <w:footerReference r:id="rId91" w:type="default"/>
          <w:pgSz w:w="11906" w:h="16839"/>
          <w:pgMar w:top="1191" w:right="1505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214" w:lineRule="auto"/>
        <w:ind w:left="619"/>
        <w:outlineLvl w:val="1"/>
        <w:rPr>
          <w:sz w:val="30"/>
          <w:szCs w:val="30"/>
        </w:rPr>
      </w:pPr>
      <w:bookmarkStart w:id="76" w:name="bookmark63"/>
      <w:bookmarkEnd w:id="76"/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1</w:t>
      </w:r>
      <w:r>
        <w:rPr>
          <w:spacing w:val="-1"/>
          <w:sz w:val="30"/>
          <w:szCs w:val="30"/>
        </w:rPr>
        <w:t>）强化用水总量强度刚性约束</w:t>
      </w:r>
    </w:p>
    <w:p>
      <w:pPr>
        <w:pStyle w:val="2"/>
        <w:spacing w:before="170" w:line="315" w:lineRule="auto"/>
        <w:ind w:left="26" w:right="145" w:firstLine="597"/>
        <w:rPr>
          <w:sz w:val="30"/>
          <w:szCs w:val="30"/>
        </w:rPr>
      </w:pPr>
      <w:r>
        <w:rPr>
          <w:spacing w:val="-4"/>
          <w:sz w:val="30"/>
          <w:szCs w:val="30"/>
        </w:rPr>
        <w:t>全面落实最严格水资源管理制度。严格实行用水总量和</w:t>
      </w:r>
      <w:r>
        <w:rPr>
          <w:spacing w:val="-5"/>
          <w:sz w:val="30"/>
          <w:szCs w:val="30"/>
        </w:rPr>
        <w:t>强度</w:t>
      </w:r>
      <w:r>
        <w:rPr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控制，强化节水约束性指标管理。结合区域发展战略，优化生产、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生活、生态空间布局，加强规划和建设项目水资源论证，合理安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排产业布局，加快形成与水资源相适应的产业发展格局。建立地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下水取用水总量和水位双控指标体系，开展地下水超采区划定基</w:t>
      </w:r>
      <w:r>
        <w:rPr>
          <w:spacing w:val="4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础工作，加强地下水开发利用监督管理。</w:t>
      </w:r>
    </w:p>
    <w:p>
      <w:pPr>
        <w:pStyle w:val="2"/>
        <w:spacing w:before="46" w:line="316" w:lineRule="auto"/>
        <w:ind w:left="22" w:right="213" w:firstLine="603"/>
        <w:rPr>
          <w:sz w:val="30"/>
          <w:szCs w:val="30"/>
        </w:rPr>
      </w:pPr>
      <w:r>
        <w:rPr>
          <w:spacing w:val="-4"/>
          <w:sz w:val="30"/>
          <w:szCs w:val="30"/>
        </w:rPr>
        <w:t>加强取水许可管理。对取水许可实行动态监管，从严</w:t>
      </w:r>
      <w:r>
        <w:rPr>
          <w:spacing w:val="-5"/>
          <w:sz w:val="30"/>
          <w:szCs w:val="30"/>
        </w:rPr>
        <w:t>审批新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增取水许可申请，切实从源头把好节水关。开展取用水管理专项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整治行动，重点整治未经批准擅自取水、未按规定条件取水等违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法取用水问题，依法规范取用水行为。严格自备井管理，依法关</w:t>
      </w:r>
      <w:r>
        <w:rPr>
          <w:spacing w:val="9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闭公共供水管网覆盖范围内的企业自备井。严格计划用水管理，</w:t>
      </w:r>
      <w:r>
        <w:rPr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按照用水定额科学核定下达用水计划，强化管网范围内用水大户</w:t>
      </w:r>
      <w:r>
        <w:rPr>
          <w:spacing w:val="9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的计划用水管理。</w:t>
      </w:r>
    </w:p>
    <w:p>
      <w:pPr>
        <w:pStyle w:val="2"/>
        <w:spacing w:before="51" w:line="214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2</w:t>
      </w:r>
      <w:r>
        <w:rPr>
          <w:spacing w:val="-1"/>
          <w:sz w:val="30"/>
          <w:szCs w:val="30"/>
        </w:rPr>
        <w:t>）加大生产生活节水力度</w:t>
      </w:r>
    </w:p>
    <w:p>
      <w:pPr>
        <w:pStyle w:val="2"/>
        <w:spacing w:before="170" w:line="314" w:lineRule="auto"/>
        <w:ind w:left="29" w:firstLine="596"/>
        <w:rPr>
          <w:sz w:val="30"/>
          <w:szCs w:val="30"/>
        </w:rPr>
      </w:pPr>
      <w:r>
        <w:rPr>
          <w:spacing w:val="1"/>
          <w:sz w:val="30"/>
          <w:szCs w:val="30"/>
        </w:rPr>
        <w:t>推动高耗水行业节水增效。针对矿企制定水资源管理计划，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明确目标和任务；优化采矿工艺，从源头减少疏干水产生量；采</w:t>
      </w:r>
      <w:r>
        <w:rPr>
          <w:spacing w:val="1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取回用工艺增加疏干水回用率，减少矿区新鲜水的使用量；提高</w:t>
      </w:r>
      <w:r>
        <w:rPr>
          <w:spacing w:val="1"/>
          <w:sz w:val="30"/>
          <w:szCs w:val="30"/>
        </w:rPr>
        <w:t xml:space="preserve">  </w:t>
      </w:r>
      <w:r>
        <w:rPr>
          <w:spacing w:val="3"/>
          <w:sz w:val="30"/>
          <w:szCs w:val="30"/>
        </w:rPr>
        <w:t>热电厂给水系统的循环给水率，充分重复利用水资源。到</w:t>
      </w:r>
      <w:r>
        <w:rPr>
          <w:spacing w:val="-4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>2030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   </w:t>
      </w:r>
      <w:r>
        <w:rPr>
          <w:spacing w:val="-6"/>
          <w:sz w:val="30"/>
          <w:szCs w:val="30"/>
        </w:rPr>
        <w:t>年，万元工业增加值用水量下降率能够完成上级规定的考核任</w:t>
      </w:r>
      <w:r>
        <w:rPr>
          <w:spacing w:val="-7"/>
          <w:sz w:val="30"/>
          <w:szCs w:val="30"/>
        </w:rPr>
        <w:t>务。</w:t>
      </w:r>
    </w:p>
    <w:p>
      <w:pPr>
        <w:pStyle w:val="2"/>
        <w:spacing w:before="50" w:line="315" w:lineRule="auto"/>
        <w:ind w:left="24" w:right="158" w:firstLine="601"/>
        <w:rPr>
          <w:sz w:val="30"/>
          <w:szCs w:val="30"/>
        </w:rPr>
      </w:pPr>
      <w:r>
        <w:rPr>
          <w:spacing w:val="-4"/>
          <w:sz w:val="30"/>
          <w:szCs w:val="30"/>
        </w:rPr>
        <w:t>推广合同节水管理。探索第三方节水服务，重点在高</w:t>
      </w:r>
      <w:r>
        <w:rPr>
          <w:spacing w:val="-5"/>
          <w:sz w:val="30"/>
          <w:szCs w:val="30"/>
        </w:rPr>
        <w:t>耗水工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业领域尝试推广合同节水管理。鼓励第三方节水服务企业参与节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水咨询、技术改造、水平衡测试和用水绩效评价。按照自治区和</w:t>
      </w:r>
      <w:r>
        <w:rPr>
          <w:spacing w:val="6"/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呼伦贝尔市相关工作部署，规范明晰区域、取用水户的初始水权，</w:t>
      </w:r>
      <w:r>
        <w:rPr>
          <w:spacing w:val="1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控制水资源开发利用总量，探索将节水改造和合同节水取得的节</w:t>
      </w:r>
      <w:r>
        <w:rPr>
          <w:spacing w:val="6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水量纳入水权交易。</w:t>
      </w:r>
    </w:p>
    <w:p>
      <w:pPr>
        <w:spacing w:line="315" w:lineRule="auto"/>
        <w:rPr>
          <w:sz w:val="30"/>
          <w:szCs w:val="30"/>
        </w:rPr>
        <w:sectPr>
          <w:headerReference r:id="rId92" w:type="default"/>
          <w:footerReference r:id="rId93" w:type="default"/>
          <w:pgSz w:w="11906" w:h="16839"/>
          <w:pgMar w:top="1191" w:right="1565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8" w:line="310" w:lineRule="auto"/>
        <w:ind w:left="35" w:right="151" w:firstLine="590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加大城镇供水管网改造力度。实施老旧小区供水管网</w:t>
      </w:r>
      <w:r>
        <w:rPr>
          <w:spacing w:val="-5"/>
          <w:sz w:val="30"/>
          <w:szCs w:val="30"/>
        </w:rPr>
        <w:t>漏损控</w:t>
      </w:r>
      <w:r>
        <w:rPr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制技术改造提升，杜绝跑、冒、滴、漏现象，提高城镇供水效率，</w:t>
      </w:r>
      <w:r>
        <w:rPr>
          <w:spacing w:val="8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降低供水管网漏损率，加强漏损控制管理。</w:t>
      </w:r>
    </w:p>
    <w:p>
      <w:pPr>
        <w:pStyle w:val="2"/>
        <w:spacing w:before="46" w:line="314" w:lineRule="auto"/>
        <w:ind w:left="23" w:right="226" w:firstLine="618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完善居民生活用水阶梯水价制度。实施城市用户智能水表替</w:t>
      </w:r>
      <w:r>
        <w:rPr>
          <w:spacing w:val="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代，提高高校、宾馆等公共场所智能计量水平。适度拉大阶梯价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格级差，有序推进城镇非居民用水超定额累进加价制度，合理确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定分档水量和加价标准。鼓励以政府购买服务方式推动公共生态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环境领域污水资源化利用。</w:t>
      </w:r>
    </w:p>
    <w:p>
      <w:pPr>
        <w:pStyle w:val="2"/>
        <w:spacing w:before="49" w:line="315" w:lineRule="auto"/>
        <w:ind w:left="20" w:right="193" w:firstLine="605"/>
        <w:rPr>
          <w:sz w:val="30"/>
          <w:szCs w:val="30"/>
        </w:rPr>
      </w:pPr>
      <w:r>
        <w:rPr>
          <w:spacing w:val="7"/>
          <w:sz w:val="30"/>
          <w:szCs w:val="30"/>
        </w:rPr>
        <w:t>推进全社会节水示范。推动县域节水型社会达标建设，到</w:t>
      </w:r>
      <w:r>
        <w:rPr>
          <w:spacing w:val="1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</w:rPr>
        <w:t xml:space="preserve">2030 </w:t>
      </w:r>
      <w:r>
        <w:rPr>
          <w:spacing w:val="5"/>
          <w:sz w:val="30"/>
          <w:szCs w:val="30"/>
        </w:rPr>
        <w:t>年，力争达到节水型社会标准。推进节水型灌区、园区、</w:t>
      </w:r>
      <w:r>
        <w:rPr>
          <w:spacing w:val="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企业、社区、公共机构等建设，示范带动各领域节水。推广节水</w:t>
      </w:r>
      <w:r>
        <w:rPr>
          <w:spacing w:val="11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型机关建设先进经验、模式和节约用水行为规范。在用水产品、</w:t>
      </w:r>
      <w:r>
        <w:rPr>
          <w:spacing w:val="1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用水行业、和公共机构等方面，树立节水先进标杆，组织开展水</w:t>
      </w:r>
      <w:r>
        <w:rPr>
          <w:spacing w:val="11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效领跑者推荐工作。</w:t>
      </w:r>
    </w:p>
    <w:p>
      <w:pPr>
        <w:pStyle w:val="2"/>
        <w:spacing w:before="51" w:line="214" w:lineRule="auto"/>
        <w:ind w:left="619"/>
        <w:outlineLvl w:val="1"/>
        <w:rPr>
          <w:sz w:val="30"/>
          <w:szCs w:val="30"/>
        </w:rPr>
      </w:pPr>
      <w:bookmarkStart w:id="77" w:name="bookmark65"/>
      <w:bookmarkEnd w:id="77"/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3</w:t>
      </w:r>
      <w:r>
        <w:rPr>
          <w:spacing w:val="-1"/>
          <w:sz w:val="30"/>
          <w:szCs w:val="30"/>
        </w:rPr>
        <w:t>）加大非常规水资源利用力度</w:t>
      </w:r>
    </w:p>
    <w:p>
      <w:pPr>
        <w:pStyle w:val="2"/>
        <w:spacing w:before="171" w:line="315" w:lineRule="auto"/>
        <w:ind w:left="24" w:firstLine="604"/>
        <w:rPr>
          <w:sz w:val="30"/>
          <w:szCs w:val="30"/>
        </w:rPr>
      </w:pPr>
      <w:r>
        <w:rPr>
          <w:spacing w:val="1"/>
          <w:sz w:val="30"/>
          <w:szCs w:val="30"/>
        </w:rPr>
        <w:t>将非常规水源作为重要组成部分纳入全域水资源统一配</w:t>
      </w:r>
      <w:r>
        <w:rPr>
          <w:sz w:val="30"/>
          <w:szCs w:val="30"/>
        </w:rPr>
        <w:t xml:space="preserve">置， </w:t>
      </w:r>
      <w:r>
        <w:rPr>
          <w:spacing w:val="-4"/>
          <w:sz w:val="30"/>
          <w:szCs w:val="30"/>
        </w:rPr>
        <w:t>科学、分类推进雨洪资源、中水、疏干水等的开发利用，为提升</w:t>
      </w:r>
      <w:r>
        <w:rPr>
          <w:spacing w:val="3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水资源承载能力提供重要补充。完善全市再生水利用设施，严格</w:t>
      </w:r>
      <w:r>
        <w:rPr>
          <w:spacing w:val="3"/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污废水排放水质管控。加快推进逊克县再生水利用配置</w:t>
      </w:r>
      <w:r>
        <w:rPr>
          <w:spacing w:val="-7"/>
          <w:sz w:val="30"/>
          <w:szCs w:val="30"/>
        </w:rPr>
        <w:t>试点实施，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并适时推广。具备再生水利用条件的工业生产、城市绿化、道路</w:t>
      </w:r>
      <w:r>
        <w:rPr>
          <w:spacing w:val="3"/>
          <w:sz w:val="30"/>
          <w:szCs w:val="30"/>
        </w:rPr>
        <w:t xml:space="preserve">  </w:t>
      </w:r>
      <w:r>
        <w:rPr>
          <w:spacing w:val="-1"/>
          <w:sz w:val="30"/>
          <w:szCs w:val="30"/>
        </w:rPr>
        <w:t>清扫、车辆冲洗、建筑施工及生态景观等领域优先配置再生水。</w:t>
      </w:r>
    </w:p>
    <w:p>
      <w:pPr>
        <w:pStyle w:val="2"/>
        <w:spacing w:before="48" w:line="214" w:lineRule="auto"/>
        <w:ind w:left="618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b/>
          <w:bCs/>
          <w:spacing w:val="-39"/>
          <w:sz w:val="30"/>
          <w:szCs w:val="30"/>
        </w:rPr>
        <w:t xml:space="preserve"> </w:t>
      </w:r>
      <w:r>
        <w:rPr>
          <w:b/>
          <w:bCs/>
          <w:spacing w:val="-5"/>
          <w:sz w:val="30"/>
          <w:szCs w:val="30"/>
        </w:rPr>
        <w:t>、加强土地资源节约集约利用</w:t>
      </w:r>
    </w:p>
    <w:p>
      <w:pPr>
        <w:pStyle w:val="2"/>
        <w:spacing w:before="173" w:line="214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1</w:t>
      </w:r>
      <w:r>
        <w:rPr>
          <w:spacing w:val="-1"/>
          <w:sz w:val="30"/>
          <w:szCs w:val="30"/>
        </w:rPr>
        <w:t>）落实最严格耕地保护制度</w:t>
      </w:r>
    </w:p>
    <w:p>
      <w:pPr>
        <w:pStyle w:val="2"/>
        <w:spacing w:before="175" w:line="309" w:lineRule="auto"/>
        <w:ind w:left="30" w:right="226" w:firstLine="604"/>
        <w:rPr>
          <w:sz w:val="30"/>
          <w:szCs w:val="30"/>
        </w:rPr>
      </w:pPr>
      <w:r>
        <w:rPr>
          <w:spacing w:val="-5"/>
          <w:sz w:val="30"/>
          <w:szCs w:val="30"/>
        </w:rPr>
        <w:t>贯彻落实最严格的耕地保护制度，坚守耕地红线，严格落实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上级下达的耕地保有量和永久基本农田任务。控制非农建设占用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耕地，加强优质耕地保护；大力实施土地整治，努力补充优质耕</w:t>
      </w:r>
    </w:p>
    <w:p>
      <w:pPr>
        <w:spacing w:line="309" w:lineRule="auto"/>
        <w:rPr>
          <w:sz w:val="30"/>
          <w:szCs w:val="30"/>
        </w:rPr>
        <w:sectPr>
          <w:headerReference r:id="rId94" w:type="default"/>
          <w:footerReference r:id="rId95" w:type="default"/>
          <w:pgSz w:w="11906" w:h="16839"/>
          <w:pgMar w:top="1191" w:right="1572" w:bottom="1151" w:left="1785" w:header="882" w:footer="987" w:gutter="0"/>
          <w:cols w:space="720" w:num="1"/>
        </w:sectPr>
      </w:pPr>
    </w:p>
    <w:p>
      <w:pPr>
        <w:spacing w:line="309" w:lineRule="auto"/>
        <w:rPr>
          <w:rFonts w:ascii="Arial"/>
          <w:sz w:val="21"/>
        </w:rPr>
      </w:pPr>
    </w:p>
    <w:p>
      <w:pPr>
        <w:pStyle w:val="2"/>
        <w:spacing w:before="97" w:line="310" w:lineRule="auto"/>
        <w:ind w:left="29" w:right="151" w:hanging="6"/>
        <w:jc w:val="both"/>
        <w:rPr>
          <w:sz w:val="30"/>
          <w:szCs w:val="30"/>
        </w:rPr>
      </w:pPr>
      <w:r>
        <w:rPr>
          <w:spacing w:val="-11"/>
          <w:sz w:val="30"/>
          <w:szCs w:val="30"/>
        </w:rPr>
        <w:t>地，改造中低产田，实现“提质改造”；落</w:t>
      </w:r>
      <w:r>
        <w:rPr>
          <w:spacing w:val="-12"/>
          <w:sz w:val="30"/>
          <w:szCs w:val="30"/>
        </w:rPr>
        <w:t>实生态文明建设要求，</w:t>
      </w:r>
      <w:r>
        <w:rPr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将位于生态保护区、脆弱区内耕地。通过退耕还林，还草等措施，</w:t>
      </w:r>
      <w:r>
        <w:rPr>
          <w:spacing w:val="13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实现不稳定耕地的还绿，还蓝。</w:t>
      </w:r>
    </w:p>
    <w:p>
      <w:pPr>
        <w:pStyle w:val="2"/>
        <w:spacing w:before="47" w:line="214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2</w:t>
      </w:r>
      <w:r>
        <w:rPr>
          <w:spacing w:val="-1"/>
          <w:sz w:val="30"/>
          <w:szCs w:val="30"/>
        </w:rPr>
        <w:t>）落实建设用地总量和强度双控</w:t>
      </w:r>
    </w:p>
    <w:p>
      <w:pPr>
        <w:pStyle w:val="2"/>
        <w:spacing w:before="179" w:line="315" w:lineRule="auto"/>
        <w:ind w:left="20" w:firstLine="620"/>
        <w:rPr>
          <w:sz w:val="30"/>
          <w:szCs w:val="30"/>
        </w:rPr>
      </w:pPr>
      <w:r>
        <w:rPr>
          <w:spacing w:val="-7"/>
          <w:sz w:val="30"/>
          <w:szCs w:val="30"/>
        </w:rPr>
        <w:t>实施建设用地总量和强度双控措施，集约高效利</w:t>
      </w:r>
      <w:r>
        <w:rPr>
          <w:spacing w:val="-8"/>
          <w:sz w:val="30"/>
          <w:szCs w:val="30"/>
        </w:rPr>
        <w:t>用建设用地，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严格控制新增城镇建设用地规模。新增建设用地优先保障重点建</w:t>
      </w:r>
      <w:r>
        <w:rPr>
          <w:spacing w:val="5"/>
          <w:sz w:val="30"/>
          <w:szCs w:val="30"/>
        </w:rPr>
        <w:t xml:space="preserve">  </w:t>
      </w:r>
      <w:r>
        <w:rPr>
          <w:spacing w:val="-14"/>
          <w:sz w:val="30"/>
          <w:szCs w:val="30"/>
        </w:rPr>
        <w:t>设项目，优先用于基础设施、公共设施、民生设施建设。按照“框</w:t>
      </w:r>
      <w:r>
        <w:rPr>
          <w:spacing w:val="2"/>
          <w:sz w:val="30"/>
          <w:szCs w:val="30"/>
        </w:rPr>
        <w:t xml:space="preserve">  </w:t>
      </w:r>
      <w:r>
        <w:rPr>
          <w:sz w:val="30"/>
          <w:szCs w:val="30"/>
        </w:rPr>
        <w:t>定总量、限定容量、盘活存量、做优增量、提高质量”</w:t>
      </w:r>
      <w:r>
        <w:rPr>
          <w:spacing w:val="-1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的思路，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推进建设用地由“增量扩张”向“增存并举”转型，提高存量建</w:t>
      </w:r>
      <w:r>
        <w:rPr>
          <w:spacing w:val="5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设用地在土地供应总量中的比重。严格执行建设项目用地准入标</w:t>
      </w:r>
      <w:r>
        <w:rPr>
          <w:spacing w:val="5"/>
          <w:sz w:val="30"/>
          <w:szCs w:val="30"/>
        </w:rPr>
        <w:t xml:space="preserve">  </w:t>
      </w:r>
      <w:r>
        <w:rPr>
          <w:spacing w:val="-1"/>
          <w:sz w:val="30"/>
          <w:szCs w:val="30"/>
        </w:rPr>
        <w:t>准，创新节地模式，推广节地技术。</w:t>
      </w:r>
    </w:p>
    <w:p>
      <w:pPr>
        <w:pStyle w:val="2"/>
        <w:spacing w:before="52" w:line="217" w:lineRule="auto"/>
        <w:ind w:left="619"/>
        <w:rPr>
          <w:sz w:val="30"/>
          <w:szCs w:val="30"/>
        </w:rPr>
      </w:pPr>
      <w:r>
        <w:rPr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3</w:t>
      </w:r>
      <w:r>
        <w:rPr>
          <w:spacing w:val="-1"/>
          <w:sz w:val="30"/>
          <w:szCs w:val="30"/>
        </w:rPr>
        <w:t>）盘活低效闲置用地</w:t>
      </w:r>
    </w:p>
    <w:p>
      <w:pPr>
        <w:pStyle w:val="2"/>
        <w:spacing w:before="160" w:line="317" w:lineRule="auto"/>
        <w:ind w:left="21" w:right="226" w:firstLine="604"/>
        <w:rPr>
          <w:sz w:val="30"/>
          <w:szCs w:val="30"/>
        </w:rPr>
      </w:pPr>
      <w:r>
        <w:rPr>
          <w:spacing w:val="-4"/>
          <w:sz w:val="30"/>
          <w:szCs w:val="30"/>
        </w:rPr>
        <w:t>加大对闲置土地的清查力度，充分利用土地调查成果</w:t>
      </w:r>
      <w:r>
        <w:rPr>
          <w:spacing w:val="-5"/>
          <w:sz w:val="30"/>
          <w:szCs w:val="30"/>
        </w:rPr>
        <w:t>，摸清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城镇低效用地的规模、范围、权属，并明晰开发潜力，合理确定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低效用地再开发的方向、目标、布局等，提升土地的有效供给和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土地利用效率。运用拆旧建新、改旧变新方式，依据城市功能定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位和产业目标，开展对现有低效建设用地的二次开发，推动城市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更新改造。不断提高城市土地资源配置效率，以盘活存量为用地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结构的优化方向，通过适当增加容积率带来的建设增量和产业升</w:t>
      </w:r>
      <w:r>
        <w:rPr>
          <w:spacing w:val="10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级带来的经济增量，寻求在存量中获取增量，从低效的城市空间</w:t>
      </w:r>
      <w:r>
        <w:rPr>
          <w:spacing w:val="10"/>
          <w:sz w:val="30"/>
          <w:szCs w:val="30"/>
        </w:rPr>
        <w:t xml:space="preserve"> </w:t>
      </w:r>
      <w:bookmarkStart w:id="78" w:name="bookmark56"/>
      <w:bookmarkEnd w:id="78"/>
      <w:r>
        <w:rPr>
          <w:spacing w:val="-1"/>
          <w:sz w:val="30"/>
          <w:szCs w:val="30"/>
        </w:rPr>
        <w:t>中获得更高的产出效益，实现城市土地的集约利用。</w:t>
      </w:r>
    </w:p>
    <w:p>
      <w:pPr>
        <w:spacing w:before="47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（三）提升固废及废旧物资回收利用能力</w:t>
      </w:r>
    </w:p>
    <w:p>
      <w:pPr>
        <w:pStyle w:val="2"/>
        <w:spacing w:before="162" w:line="312" w:lineRule="auto"/>
        <w:ind w:left="23" w:right="193" w:firstLine="602"/>
        <w:jc w:val="both"/>
        <w:rPr>
          <w:sz w:val="30"/>
          <w:szCs w:val="30"/>
        </w:rPr>
      </w:pPr>
      <w:r>
        <w:rPr>
          <w:spacing w:val="-3"/>
          <w:sz w:val="30"/>
          <w:szCs w:val="30"/>
        </w:rPr>
        <w:t>推动大宗固废综合利用。引导企业在资源开采、生产消耗、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废物产生、消费等全环节，逐步完善和延伸产业链条，提升大宗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固废多类别协同利用、高附加值利用能力。积极推动工业固废技</w:t>
      </w:r>
      <w:r>
        <w:rPr>
          <w:spacing w:val="8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术研发、工艺创新和综合利用设备产业化利用，推进粉煤灰</w:t>
      </w:r>
      <w:r>
        <w:rPr>
          <w:spacing w:val="-4"/>
          <w:sz w:val="30"/>
          <w:szCs w:val="30"/>
        </w:rPr>
        <w:t>、尾</w:t>
      </w:r>
    </w:p>
    <w:p>
      <w:pPr>
        <w:spacing w:line="312" w:lineRule="auto"/>
        <w:rPr>
          <w:sz w:val="30"/>
          <w:szCs w:val="30"/>
        </w:rPr>
        <w:sectPr>
          <w:footerReference r:id="rId96" w:type="default"/>
          <w:pgSz w:w="11906" w:h="16839"/>
          <w:pgMar w:top="1191" w:right="1572" w:bottom="1151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314" w:lineRule="auto"/>
        <w:ind w:left="22" w:right="88" w:firstLine="8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矿等资源在工程建设、塌陷区治理、盐碱地生态修复、新型墙体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材料、装饰装修等领域的综合应用，积极开展工业固废综合利用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新模式、新机制的示范引领和推广运用。积极探索工业固废综合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利用项目，推进建立工业固废综合利用和管理长效机制，实现一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般工业固废综合利用率持续改善。</w:t>
      </w:r>
    </w:p>
    <w:p>
      <w:pPr>
        <w:pStyle w:val="2"/>
        <w:spacing w:before="48" w:line="315" w:lineRule="auto"/>
        <w:ind w:left="23" w:firstLine="597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健全废旧物资循环利用体系。完善废旧物资回收网络，推进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垃圾分类与再生资源回收“两网融合”，支持建立再生资源区域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分类回收和交易中心，合理布局建设“交投点、中转站、分拣中</w:t>
      </w:r>
      <w:r>
        <w:rPr>
          <w:spacing w:val="8"/>
          <w:sz w:val="30"/>
          <w:szCs w:val="30"/>
        </w:rPr>
        <w:t xml:space="preserve"> </w:t>
      </w:r>
      <w:r>
        <w:rPr>
          <w:sz w:val="30"/>
          <w:szCs w:val="30"/>
        </w:rPr>
        <w:t>心”三级回收体系。积极推行“互联网</w:t>
      </w:r>
      <w:r>
        <w:rPr>
          <w:rFonts w:ascii="Times New Roman" w:hAnsi="Times New Roman" w:eastAsia="Times New Roman" w:cs="Times New Roman"/>
          <w:sz w:val="30"/>
          <w:szCs w:val="30"/>
        </w:rPr>
        <w:t>+</w:t>
      </w:r>
      <w:r>
        <w:rPr>
          <w:rFonts w:ascii="Times New Roman" w:hAnsi="Times New Roman" w:eastAsia="Times New Roman" w:cs="Times New Roman"/>
          <w:spacing w:val="-49"/>
          <w:sz w:val="30"/>
          <w:szCs w:val="30"/>
        </w:rPr>
        <w:t xml:space="preserve"> </w:t>
      </w:r>
      <w:r>
        <w:rPr>
          <w:sz w:val="30"/>
          <w:szCs w:val="30"/>
        </w:rPr>
        <w:t xml:space="preserve">”回收模式，支持再生 </w:t>
      </w:r>
      <w:r>
        <w:rPr>
          <w:spacing w:val="-11"/>
          <w:sz w:val="30"/>
          <w:szCs w:val="30"/>
        </w:rPr>
        <w:t>资源回收企业建立在线交易平台。加强废纸、废塑料、废旧轮胎、</w:t>
      </w:r>
      <w:r>
        <w:rPr>
          <w:spacing w:val="3"/>
          <w:sz w:val="30"/>
          <w:szCs w:val="30"/>
        </w:rPr>
        <w:t xml:space="preserve"> </w:t>
      </w:r>
      <w:bookmarkStart w:id="79" w:name="bookmark58"/>
      <w:bookmarkEnd w:id="79"/>
      <w:r>
        <w:rPr>
          <w:spacing w:val="-1"/>
          <w:sz w:val="30"/>
          <w:szCs w:val="30"/>
        </w:rPr>
        <w:t>废旧家电等再生资源规模化、清洁化利用。</w:t>
      </w:r>
    </w:p>
    <w:p>
      <w:pPr>
        <w:spacing w:before="50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（四）探索生态产业化新模式</w:t>
      </w:r>
    </w:p>
    <w:p>
      <w:pPr>
        <w:pStyle w:val="2"/>
        <w:spacing w:before="154" w:line="317" w:lineRule="auto"/>
        <w:ind w:left="23" w:right="88" w:firstLine="595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创新生态产品价值实现路径。依托根河市生态资源优势，拓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展延伸生态产品产业链和价值链。聚焦生态农业和旅游业，重点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发展绿色有机农畜产品、林下经济、中药材种植、“冷极”文化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旅游等，发掘森工文化、传统文化价值，增强自我造血功能和发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展能力，提供包括生态物质产品、调节服务产品、文化服务产品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等更多优质生态产品；培育生态加工业发展，持续推进农畜加工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产品品牌建设，推动一二三产业融合发展推进生态产品供需精准</w:t>
      </w:r>
      <w:r>
        <w:rPr>
          <w:spacing w:val="8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对接；探索通过构建</w:t>
      </w:r>
      <w:r>
        <w:rPr>
          <w:spacing w:val="-6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>EOD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模式，利用废弃矿山修复</w:t>
      </w:r>
      <w:r>
        <w:rPr>
          <w:sz w:val="30"/>
          <w:szCs w:val="30"/>
        </w:rPr>
        <w:t xml:space="preserve">土地，发展 </w:t>
      </w:r>
      <w:r>
        <w:rPr>
          <w:spacing w:val="-1"/>
          <w:sz w:val="30"/>
          <w:szCs w:val="30"/>
        </w:rPr>
        <w:t>光伏、风能等清洁能源产业。</w:t>
      </w:r>
    </w:p>
    <w:p>
      <w:pPr>
        <w:pStyle w:val="2"/>
        <w:spacing w:before="49" w:line="314" w:lineRule="auto"/>
        <w:ind w:left="25" w:right="12" w:firstLine="600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加强生态产品宣传推广。定期举办生态产品推介博览</w:t>
      </w:r>
      <w:r>
        <w:rPr>
          <w:spacing w:val="-5"/>
          <w:sz w:val="30"/>
          <w:szCs w:val="30"/>
        </w:rPr>
        <w:t>会，组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织开展生态产品线上云交易、云招商，推进生态产品供给方与需</w:t>
      </w:r>
      <w:r>
        <w:rPr>
          <w:spacing w:val="5"/>
          <w:sz w:val="30"/>
          <w:szCs w:val="30"/>
        </w:rPr>
        <w:t xml:space="preserve"> </w:t>
      </w:r>
      <w:r>
        <w:rPr>
          <w:spacing w:val="-12"/>
          <w:sz w:val="30"/>
          <w:szCs w:val="30"/>
        </w:rPr>
        <w:t>求方、资源方与投资方高效对接。通过新闻媒体和互联网等渠道，</w:t>
      </w:r>
      <w:r>
        <w:rPr>
          <w:spacing w:val="1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加大生态产品宣传推介力度，提升生态产品的社会关注度，扩大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经营开发收益和市场份额。加强和规范平台管理，发挥电商平台</w:t>
      </w:r>
    </w:p>
    <w:p>
      <w:pPr>
        <w:spacing w:line="314" w:lineRule="auto"/>
        <w:rPr>
          <w:sz w:val="30"/>
          <w:szCs w:val="30"/>
        </w:rPr>
        <w:sectPr>
          <w:headerReference r:id="rId97" w:type="default"/>
          <w:footerReference r:id="rId98" w:type="default"/>
          <w:pgSz w:w="11906" w:h="16839"/>
          <w:pgMar w:top="1191" w:right="1711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214" w:lineRule="auto"/>
        <w:ind w:left="38"/>
        <w:rPr>
          <w:sz w:val="30"/>
          <w:szCs w:val="30"/>
        </w:rPr>
      </w:pPr>
      <w:r>
        <w:rPr>
          <w:spacing w:val="-1"/>
          <w:sz w:val="30"/>
          <w:szCs w:val="30"/>
        </w:rPr>
        <w:t>资源、渠道优势，形成更多拓展生态产品价值实现模式。</w:t>
      </w:r>
    </w:p>
    <w:p>
      <w:pPr>
        <w:spacing w:before="324" w:line="218" w:lineRule="auto"/>
        <w:ind w:left="25"/>
        <w:outlineLvl w:val="1"/>
        <w:rPr>
          <w:rFonts w:ascii="黑体" w:hAnsi="黑体" w:eastAsia="黑体" w:cs="黑体"/>
          <w:sz w:val="31"/>
          <w:szCs w:val="31"/>
        </w:rPr>
      </w:pPr>
      <w:bookmarkStart w:id="80" w:name="bookmark60"/>
      <w:bookmarkEnd w:id="80"/>
      <w:bookmarkStart w:id="81" w:name="bookmark62"/>
      <w:bookmarkEnd w:id="81"/>
      <w:r>
        <w:rPr>
          <w:rFonts w:ascii="黑体" w:hAnsi="黑体" w:eastAsia="黑体" w:cs="黑体"/>
          <w:b/>
          <w:bCs/>
          <w:spacing w:val="7"/>
          <w:sz w:val="31"/>
          <w:szCs w:val="31"/>
        </w:rPr>
        <w:t>七、培育生态文化体系，厚植文明理念</w:t>
      </w:r>
    </w:p>
    <w:p>
      <w:pPr>
        <w:spacing w:before="260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（一）加强历史文化整体保护传承</w:t>
      </w:r>
    </w:p>
    <w:p>
      <w:pPr>
        <w:pStyle w:val="2"/>
        <w:spacing w:before="163" w:line="312" w:lineRule="auto"/>
        <w:ind w:left="23" w:right="293" w:firstLine="594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形成“一轴、一核、三片”的文化保护格局。即：根河市森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林铁路专线串联而成的根河历史文化景观轴，根河市中心城区历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史文化保护核，自然遗址文化区、人文部落文化区、特色历史文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化区三大相互交融的历史文化片区。</w:t>
      </w:r>
    </w:p>
    <w:p>
      <w:pPr>
        <w:pStyle w:val="2"/>
        <w:spacing w:before="44" w:line="316" w:lineRule="auto"/>
        <w:ind w:left="25" w:right="210" w:firstLine="600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加强对敖鲁古雅乡民俗历史文化保护区的整体保护。</w:t>
      </w:r>
      <w:r>
        <w:rPr>
          <w:spacing w:val="-5"/>
          <w:sz w:val="30"/>
          <w:szCs w:val="30"/>
        </w:rPr>
        <w:t>对历史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风貌、民俗文化与历史文化点重点保护，按照“保护为主、抢救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第一、合理利用、传承发展”的原则，对体现民族优秀传统文化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的非物质文化遗产实施整体保护。严格按照《中华人民共和国非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物质文化遗产法》的相关规定保护非物质文化遗产，促进非物质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文化遗产的传承和合理利用。保护传统文化为第一要义，在对遗</w:t>
      </w:r>
      <w:r>
        <w:rPr>
          <w:spacing w:val="5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产零破坏为基本原则的前提下，合理、稳步、有序进行</w:t>
      </w:r>
      <w:r>
        <w:rPr>
          <w:spacing w:val="-12"/>
          <w:sz w:val="30"/>
          <w:szCs w:val="30"/>
        </w:rPr>
        <w:t>开发利用。</w:t>
      </w:r>
    </w:p>
    <w:p>
      <w:pPr>
        <w:pStyle w:val="2"/>
        <w:spacing w:before="48" w:line="315" w:lineRule="auto"/>
        <w:ind w:left="25" w:right="293" w:firstLine="607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注重对无文字形式的敖鲁古雅鄂温克族的语言、歌舞等非遗</w:t>
      </w:r>
      <w:r>
        <w:rPr>
          <w:spacing w:val="1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文化进行记录。强化对敖鲁古雅鄂温克族非物质文化遗产等优势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特色传统文化的宣传。重点提升鄂温克族人对本民族文化的认识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和传承意识。通过学校教育、节庆活动、展览、展演、会议等各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种活动以及媒体、书籍等手段，加快提升根河市民及其他人群对</w:t>
      </w:r>
      <w:r>
        <w:rPr>
          <w:spacing w:val="5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鄂温克族历史文化价值的认同。</w:t>
      </w:r>
    </w:p>
    <w:p>
      <w:pPr>
        <w:pStyle w:val="2"/>
        <w:spacing w:before="48" w:line="315" w:lineRule="auto"/>
        <w:ind w:left="25" w:firstLine="600"/>
        <w:rPr>
          <w:sz w:val="30"/>
          <w:szCs w:val="30"/>
        </w:rPr>
      </w:pPr>
      <w:r>
        <w:rPr>
          <w:spacing w:val="-4"/>
          <w:sz w:val="30"/>
          <w:szCs w:val="30"/>
        </w:rPr>
        <w:t>加强非物质文化遗产的申报与保护力度。深入挖掘更</w:t>
      </w:r>
      <w:r>
        <w:rPr>
          <w:spacing w:val="-5"/>
          <w:sz w:val="30"/>
          <w:szCs w:val="30"/>
        </w:rPr>
        <w:t>多的保</w:t>
      </w:r>
      <w:r>
        <w:rPr>
          <w:sz w:val="30"/>
          <w:szCs w:val="30"/>
        </w:rPr>
        <w:t xml:space="preserve">   </w:t>
      </w:r>
      <w:r>
        <w:rPr>
          <w:spacing w:val="-4"/>
          <w:sz w:val="30"/>
          <w:szCs w:val="30"/>
        </w:rPr>
        <w:t>护项目，注重恢复与保护未定级的非物质文化遗产，以及多位历</w:t>
      </w:r>
      <w:r>
        <w:rPr>
          <w:spacing w:val="1"/>
          <w:sz w:val="30"/>
          <w:szCs w:val="30"/>
        </w:rPr>
        <w:t xml:space="preserve">   </w:t>
      </w:r>
      <w:r>
        <w:rPr>
          <w:spacing w:val="-4"/>
          <w:sz w:val="30"/>
          <w:szCs w:val="30"/>
        </w:rPr>
        <w:t>史文化名人文化、老字号、老地名、人文精神等优秀传统文化遗</w:t>
      </w:r>
      <w:r>
        <w:rPr>
          <w:spacing w:val="1"/>
          <w:sz w:val="30"/>
          <w:szCs w:val="30"/>
        </w:rPr>
        <w:t xml:space="preserve">   </w:t>
      </w:r>
      <w:r>
        <w:rPr>
          <w:spacing w:val="-4"/>
          <w:sz w:val="30"/>
          <w:szCs w:val="30"/>
        </w:rPr>
        <w:t>产。做好对从事文物保护工作人员的系统性培训。对非物质文化</w:t>
      </w:r>
      <w:r>
        <w:rPr>
          <w:spacing w:val="1"/>
          <w:sz w:val="30"/>
          <w:szCs w:val="30"/>
        </w:rPr>
        <w:t xml:space="preserve">   遗产采取动态、静态两种方式进行分类保护。利用文</w:t>
      </w:r>
      <w:r>
        <w:rPr>
          <w:sz w:val="30"/>
          <w:szCs w:val="30"/>
        </w:rPr>
        <w:t xml:space="preserve">字、文物、  </w:t>
      </w:r>
      <w:r>
        <w:rPr>
          <w:spacing w:val="-4"/>
          <w:sz w:val="30"/>
          <w:szCs w:val="30"/>
        </w:rPr>
        <w:t>遗址、图片、录音录像等方式，对诸如“狩猎文化”“使鹿文化”</w:t>
      </w:r>
    </w:p>
    <w:p>
      <w:pPr>
        <w:spacing w:line="315" w:lineRule="auto"/>
        <w:rPr>
          <w:sz w:val="30"/>
          <w:szCs w:val="30"/>
        </w:rPr>
        <w:sectPr>
          <w:headerReference r:id="rId99" w:type="default"/>
          <w:footerReference r:id="rId100" w:type="default"/>
          <w:pgSz w:w="11906" w:h="16839"/>
          <w:pgMar w:top="1191" w:right="1505" w:bottom="1151" w:left="1785" w:header="882" w:footer="987" w:gutter="0"/>
          <w:cols w:space="720" w:num="1"/>
        </w:sectPr>
      </w:pPr>
    </w:p>
    <w:p>
      <w:pPr>
        <w:spacing w:line="306" w:lineRule="auto"/>
        <w:rPr>
          <w:rFonts w:ascii="Arial"/>
          <w:sz w:val="21"/>
        </w:rPr>
      </w:pPr>
    </w:p>
    <w:p>
      <w:pPr>
        <w:pStyle w:val="2"/>
        <w:spacing w:before="97" w:line="314" w:lineRule="auto"/>
        <w:ind w:left="29" w:right="216" w:firstLine="21"/>
        <w:jc w:val="both"/>
        <w:rPr>
          <w:sz w:val="30"/>
          <w:szCs w:val="30"/>
        </w:rPr>
      </w:pPr>
      <w:r>
        <w:rPr>
          <w:spacing w:val="-7"/>
          <w:sz w:val="30"/>
          <w:szCs w:val="30"/>
        </w:rPr>
        <w:t>“撮罗子”等极有可能消减的文化遗产实施静态保护。对于“</w:t>
      </w:r>
      <w:r>
        <w:rPr>
          <w:spacing w:val="-86"/>
          <w:sz w:val="30"/>
          <w:szCs w:val="30"/>
        </w:rPr>
        <w:t xml:space="preserve"> </w:t>
      </w:r>
      <w:r>
        <w:rPr>
          <w:spacing w:val="-7"/>
          <w:sz w:val="30"/>
          <w:szCs w:val="30"/>
        </w:rPr>
        <w:t>民</w:t>
      </w:r>
      <w:r>
        <w:rPr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间音乐”“</w:t>
      </w:r>
      <w:r>
        <w:rPr>
          <w:spacing w:val="-92"/>
          <w:sz w:val="30"/>
          <w:szCs w:val="30"/>
        </w:rPr>
        <w:t xml:space="preserve"> </w:t>
      </w:r>
      <w:r>
        <w:rPr>
          <w:spacing w:val="-6"/>
          <w:sz w:val="30"/>
          <w:szCs w:val="30"/>
        </w:rPr>
        <w:t>民间美食”“桦树皮文化”等能够适应当下社会发展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的非物质文化遗产，政府及有关部门、专家应积极引导，整合提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升，实施动态保护。从猎户、鄂温克族人群及其他人群搜集与整</w:t>
      </w:r>
      <w:r>
        <w:rPr>
          <w:spacing w:val="2"/>
          <w:sz w:val="30"/>
          <w:szCs w:val="30"/>
        </w:rPr>
        <w:t xml:space="preserve"> </w:t>
      </w:r>
      <w:bookmarkStart w:id="82" w:name="bookmark64"/>
      <w:bookmarkEnd w:id="82"/>
      <w:r>
        <w:rPr>
          <w:spacing w:val="-2"/>
          <w:sz w:val="30"/>
          <w:szCs w:val="30"/>
        </w:rPr>
        <w:t>理相关资料，建立对应数据库。</w:t>
      </w:r>
    </w:p>
    <w:p>
      <w:pPr>
        <w:spacing w:before="51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（二）促进生态文旅深度融合发展</w:t>
      </w:r>
    </w:p>
    <w:p>
      <w:pPr>
        <w:pStyle w:val="2"/>
        <w:spacing w:before="156" w:line="314" w:lineRule="auto"/>
        <w:ind w:left="23" w:right="183" w:firstLine="609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充分挖掘文化内涵。充分挖掘以敖鲁古雅使鹿文化、游猎民</w:t>
      </w:r>
      <w:r>
        <w:rPr>
          <w:spacing w:val="1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族文化、森工历史文化、非遗文化底蕴的文化内涵，培育有地方</w:t>
      </w:r>
      <w:r>
        <w:rPr>
          <w:spacing w:val="8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特色的文化创意旅游企业，形成以手工艺制作、民俗文化演艺、</w:t>
      </w:r>
      <w:r>
        <w:rPr>
          <w:spacing w:val="13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文化研学教育、文化创意产业、祈福康养产业等多元文化产业，</w:t>
      </w:r>
      <w:r>
        <w:rPr>
          <w:spacing w:val="13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打造文旅商结合的产业链条。</w:t>
      </w:r>
    </w:p>
    <w:p>
      <w:pPr>
        <w:pStyle w:val="2"/>
        <w:spacing w:before="55" w:line="309" w:lineRule="auto"/>
        <w:ind w:left="25" w:right="216" w:firstLine="603"/>
        <w:rPr>
          <w:sz w:val="30"/>
          <w:szCs w:val="30"/>
        </w:rPr>
      </w:pPr>
      <w:r>
        <w:rPr>
          <w:spacing w:val="-4"/>
          <w:sz w:val="30"/>
          <w:szCs w:val="30"/>
        </w:rPr>
        <w:t>打造旅游线路。重点打造最美大兴安岭旅游线</w:t>
      </w:r>
      <w:r>
        <w:rPr>
          <w:spacing w:val="-5"/>
          <w:sz w:val="30"/>
          <w:szCs w:val="30"/>
        </w:rPr>
        <w:t>路，激活旅游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资源整体开发。突出冰雪旅游主题，重点打造冷极村景区，突出</w:t>
      </w:r>
      <w:r>
        <w:rPr>
          <w:spacing w:val="5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鄂温克族文化主题形象，重点打造敖鲁古雅使鹿部落景区；</w:t>
      </w:r>
    </w:p>
    <w:p>
      <w:pPr>
        <w:pStyle w:val="2"/>
        <w:spacing w:before="53" w:line="303" w:lineRule="auto"/>
        <w:ind w:left="36" w:right="216" w:firstLine="606"/>
        <w:rPr>
          <w:sz w:val="30"/>
          <w:szCs w:val="30"/>
        </w:rPr>
      </w:pPr>
      <w:r>
        <w:rPr>
          <w:spacing w:val="-5"/>
          <w:sz w:val="30"/>
          <w:szCs w:val="30"/>
        </w:rPr>
        <w:t>完善配套设施。完善旅游交通体系、旅游集散体系、智慧旅</w:t>
      </w:r>
      <w:r>
        <w:rPr>
          <w:spacing w:val="7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游体系、旅游要素体系、旅游厕所体系；</w:t>
      </w:r>
    </w:p>
    <w:p>
      <w:pPr>
        <w:pStyle w:val="2"/>
        <w:spacing w:before="53" w:line="304" w:lineRule="auto"/>
        <w:ind w:left="23" w:firstLine="611"/>
        <w:rPr>
          <w:sz w:val="30"/>
          <w:szCs w:val="30"/>
        </w:rPr>
      </w:pPr>
      <w:r>
        <w:rPr>
          <w:spacing w:val="-5"/>
          <w:sz w:val="30"/>
          <w:szCs w:val="30"/>
        </w:rPr>
        <w:t>开发文旅产品。挖掘民族文化，加大对民族手工艺品等文化</w:t>
      </w:r>
      <w:r>
        <w:rPr>
          <w:spacing w:val="7"/>
          <w:sz w:val="30"/>
          <w:szCs w:val="30"/>
        </w:rPr>
        <w:t xml:space="preserve">  </w:t>
      </w:r>
      <w:r>
        <w:rPr>
          <w:spacing w:val="-7"/>
          <w:sz w:val="30"/>
          <w:szCs w:val="30"/>
        </w:rPr>
        <w:t>旅游商品的开发及文创企业的扶持力度，开发优质文化旅游产品；</w:t>
      </w:r>
    </w:p>
    <w:p>
      <w:pPr>
        <w:pStyle w:val="2"/>
        <w:spacing w:before="53" w:line="310" w:lineRule="auto"/>
        <w:ind w:left="36" w:right="140" w:firstLine="589"/>
        <w:rPr>
          <w:sz w:val="30"/>
          <w:szCs w:val="30"/>
        </w:rPr>
      </w:pPr>
      <w:r>
        <w:rPr>
          <w:spacing w:val="-12"/>
          <w:sz w:val="30"/>
          <w:szCs w:val="30"/>
        </w:rPr>
        <w:t>加强宣传推广。以宣传促营销，围绕“冬季体</w:t>
      </w:r>
      <w:r>
        <w:rPr>
          <w:spacing w:val="-13"/>
          <w:sz w:val="30"/>
          <w:szCs w:val="30"/>
        </w:rPr>
        <w:t>验冷极来看雪，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夏季身临氧吧来养生”的宣传主题，广泛开展宣传活</w:t>
      </w:r>
      <w:r>
        <w:rPr>
          <w:spacing w:val="-5"/>
          <w:sz w:val="30"/>
          <w:szCs w:val="30"/>
        </w:rPr>
        <w:t>动，发布旅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游形象广告；</w:t>
      </w:r>
    </w:p>
    <w:p>
      <w:pPr>
        <w:pStyle w:val="2"/>
        <w:spacing w:before="47" w:line="314" w:lineRule="auto"/>
        <w:ind w:left="22" w:right="140" w:firstLine="600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促进旅游行业整体联动。积极参加大型旅游活动，利用信息</w:t>
      </w:r>
      <w:r>
        <w:rPr>
          <w:spacing w:val="1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网络积极开展旅游网络营销，全力打造智慧旅</w:t>
      </w:r>
      <w:r>
        <w:rPr>
          <w:spacing w:val="-12"/>
          <w:sz w:val="30"/>
          <w:szCs w:val="30"/>
        </w:rPr>
        <w:t>游。以活动带营销，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采取政府主导、市场运作方式，定期举办中国冷极节、敖鲁古雅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使鹿部落文化节、金秋呼伦贝尔摄影节活动，培育一批具有市场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影响力和吸引力的节庆活动产品吸引人气。</w:t>
      </w:r>
    </w:p>
    <w:p>
      <w:pPr>
        <w:spacing w:line="314" w:lineRule="auto"/>
        <w:rPr>
          <w:sz w:val="30"/>
          <w:szCs w:val="30"/>
        </w:rPr>
        <w:sectPr>
          <w:headerReference r:id="rId101" w:type="default"/>
          <w:footerReference r:id="rId102" w:type="default"/>
          <w:pgSz w:w="11906" w:h="16839"/>
          <w:pgMar w:top="1191" w:right="1583" w:bottom="1152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spacing w:before="97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bookmarkStart w:id="83" w:name="bookmark66"/>
      <w:bookmarkEnd w:id="83"/>
      <w:r>
        <w:rPr>
          <w:rFonts w:ascii="黑体" w:hAnsi="黑体" w:eastAsia="黑体" w:cs="黑体"/>
          <w:spacing w:val="-3"/>
          <w:sz w:val="30"/>
          <w:szCs w:val="30"/>
        </w:rPr>
        <w:t>（三）加大生态文明宣传教育力度</w:t>
      </w:r>
    </w:p>
    <w:p>
      <w:pPr>
        <w:pStyle w:val="2"/>
        <w:spacing w:before="159" w:line="315" w:lineRule="auto"/>
        <w:ind w:left="22" w:right="226" w:firstLine="609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深入基层，营造生态文明建设的良好氛围。政府应当深入基</w:t>
      </w:r>
      <w:r>
        <w:rPr>
          <w:spacing w:val="1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层、深入一线，挖掘、宣扬环保先进人物、先进事迹，形成榜样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力量；同时，还应向基层加大根河市生态文明建设和环境保护工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作中出台的环保新政策、新举措及开展的环保重大活动、专项行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动、生态环保规划、环境保护科技成果和环保产业发展状况等环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保工作的宣传力度。</w:t>
      </w:r>
    </w:p>
    <w:p>
      <w:pPr>
        <w:pStyle w:val="2"/>
        <w:spacing w:before="56" w:line="315" w:lineRule="auto"/>
        <w:ind w:left="18" w:right="151" w:firstLine="603"/>
        <w:rPr>
          <w:sz w:val="30"/>
          <w:szCs w:val="30"/>
        </w:rPr>
      </w:pPr>
      <w:r>
        <w:rPr>
          <w:spacing w:val="-4"/>
          <w:sz w:val="30"/>
          <w:szCs w:val="30"/>
        </w:rPr>
        <w:t>利用平台，扩大生态文明建设的宣传范围。充分发挥传统媒</w:t>
      </w:r>
      <w:r>
        <w:rPr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体与新媒体相结合的宣传辐射作用，丰富宣传形式，宣传生态环</w:t>
      </w:r>
      <w:r>
        <w:rPr>
          <w:spacing w:val="12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保理念、解读环保政策法规、报道生态文明建设工作成</w:t>
      </w:r>
      <w:r>
        <w:rPr>
          <w:spacing w:val="-12"/>
          <w:sz w:val="30"/>
          <w:szCs w:val="30"/>
        </w:rPr>
        <w:t>效和亮点，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增强公众对环保工作的了解认知；以根河</w:t>
      </w:r>
      <w:r>
        <w:rPr>
          <w:spacing w:val="-6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TV</w:t>
      </w:r>
      <w:r>
        <w:rPr>
          <w:rFonts w:ascii="Times New Roman" w:hAnsi="Times New Roman" w:eastAsia="Times New Roman" w:cs="Times New Roman"/>
          <w:spacing w:val="-37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、根河圈、智慧根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河、凯风根河、呼伦贝尔根河市发布、呼伦贝尔根河市旅游局等</w:t>
      </w:r>
      <w:r>
        <w:rPr>
          <w:spacing w:val="12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微信公众号、小程序、官方微博账号为依托，强化网络</w:t>
      </w:r>
      <w:r>
        <w:rPr>
          <w:spacing w:val="-12"/>
          <w:sz w:val="30"/>
          <w:szCs w:val="30"/>
        </w:rPr>
        <w:t>宣传引导，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拉近政府与群众距离的同时积极打造环境宣教品牌。</w:t>
      </w:r>
    </w:p>
    <w:p>
      <w:pPr>
        <w:pStyle w:val="2"/>
        <w:spacing w:before="50" w:line="312" w:lineRule="auto"/>
        <w:ind w:left="23" w:right="226" w:firstLine="608"/>
        <w:rPr>
          <w:sz w:val="30"/>
          <w:szCs w:val="30"/>
        </w:rPr>
      </w:pPr>
      <w:r>
        <w:rPr>
          <w:spacing w:val="-5"/>
          <w:sz w:val="30"/>
          <w:szCs w:val="30"/>
        </w:rPr>
        <w:t>政策引导，推进新建绿色建筑的节能改造。提高建筑节能和</w:t>
      </w:r>
      <w:r>
        <w:rPr>
          <w:spacing w:val="1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绿色建筑发展水平，加快发展绿色低碳建筑，不断推进绿色生态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城区、绿色生态小区建设，全市城镇新建建筑全面执行绿色建筑</w:t>
      </w:r>
      <w:r>
        <w:rPr>
          <w:spacing w:val="8"/>
          <w:sz w:val="30"/>
          <w:szCs w:val="30"/>
        </w:rPr>
        <w:t xml:space="preserve"> </w:t>
      </w:r>
      <w:r>
        <w:rPr>
          <w:sz w:val="30"/>
          <w:szCs w:val="30"/>
        </w:rPr>
        <w:t>标准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,  </w:t>
      </w:r>
      <w:r>
        <w:rPr>
          <w:sz w:val="30"/>
          <w:szCs w:val="30"/>
        </w:rPr>
        <w:t>规划期间，城镇新建绿色建筑比例应保持</w:t>
      </w:r>
      <w:r>
        <w:rPr>
          <w:spacing w:val="-2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>100%</w:t>
      </w:r>
      <w:r>
        <w:rPr>
          <w:rFonts w:ascii="Times New Roman" w:hAnsi="Times New Roman" w:eastAsia="Times New Roman" w:cs="Times New Roman"/>
          <w:spacing w:val="-32"/>
          <w:sz w:val="30"/>
          <w:szCs w:val="30"/>
        </w:rPr>
        <w:t xml:space="preserve"> </w:t>
      </w:r>
      <w:r>
        <w:rPr>
          <w:sz w:val="30"/>
          <w:szCs w:val="30"/>
        </w:rPr>
        <w:t>，其中，</w:t>
      </w:r>
    </w:p>
    <w:p>
      <w:pPr>
        <w:pStyle w:val="2"/>
        <w:spacing w:before="53" w:line="315" w:lineRule="auto"/>
        <w:ind w:left="20" w:firstLine="18"/>
        <w:rPr>
          <w:sz w:val="30"/>
          <w:szCs w:val="30"/>
        </w:rPr>
      </w:pPr>
      <w:r>
        <w:rPr>
          <w:spacing w:val="-8"/>
          <w:sz w:val="30"/>
          <w:szCs w:val="30"/>
        </w:rPr>
        <w:t>星级绿色建筑占新建建筑比例突破</w:t>
      </w:r>
      <w:r>
        <w:rPr>
          <w:spacing w:val="-5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8"/>
          <w:sz w:val="30"/>
          <w:szCs w:val="30"/>
        </w:rPr>
        <w:t>30%</w:t>
      </w:r>
      <w:r>
        <w:rPr>
          <w:spacing w:val="-8"/>
          <w:sz w:val="30"/>
          <w:szCs w:val="30"/>
        </w:rPr>
        <w:t>。加强新建建筑能效提升，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严格执行建筑节能强制性标准。逐步实施既有居住建筑和公共建</w:t>
      </w:r>
      <w:r>
        <w:rPr>
          <w:spacing w:val="5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筑绿色节能改造。加大绿色低碳建筑管理，强化对公共建筑用能</w:t>
      </w:r>
      <w:r>
        <w:rPr>
          <w:spacing w:val="5"/>
          <w:sz w:val="30"/>
          <w:szCs w:val="30"/>
        </w:rPr>
        <w:t xml:space="preserve">  </w:t>
      </w:r>
      <w:r>
        <w:rPr>
          <w:spacing w:val="1"/>
          <w:sz w:val="30"/>
          <w:szCs w:val="30"/>
        </w:rPr>
        <w:t>监测和低碳运营管理，加强能效测评管理，稳步推进能效</w:t>
      </w:r>
      <w:r>
        <w:rPr>
          <w:sz w:val="30"/>
          <w:szCs w:val="30"/>
        </w:rPr>
        <w:t xml:space="preserve">提升。 </w:t>
      </w:r>
      <w:r>
        <w:rPr>
          <w:spacing w:val="-4"/>
          <w:sz w:val="30"/>
          <w:szCs w:val="30"/>
        </w:rPr>
        <w:t>加强可再生能源建筑应用，因地制宜推进太阳能等能源在建筑中</w:t>
      </w:r>
      <w:r>
        <w:rPr>
          <w:spacing w:val="5"/>
          <w:sz w:val="30"/>
          <w:szCs w:val="30"/>
        </w:rPr>
        <w:t xml:space="preserve">  </w:t>
      </w:r>
      <w:bookmarkStart w:id="84" w:name="bookmark68"/>
      <w:bookmarkEnd w:id="84"/>
      <w:r>
        <w:rPr>
          <w:spacing w:val="-1"/>
          <w:sz w:val="30"/>
          <w:szCs w:val="30"/>
        </w:rPr>
        <w:t>的应用，减少民用建筑常规能源使用。</w:t>
      </w:r>
    </w:p>
    <w:p>
      <w:pPr>
        <w:spacing w:before="48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（四）畅通生态文明公众参与渠道</w:t>
      </w:r>
    </w:p>
    <w:p>
      <w:pPr>
        <w:pStyle w:val="2"/>
        <w:spacing w:before="162" w:line="214" w:lineRule="auto"/>
        <w:ind w:left="635"/>
        <w:rPr>
          <w:sz w:val="30"/>
          <w:szCs w:val="30"/>
        </w:rPr>
      </w:pPr>
      <w:r>
        <w:rPr>
          <w:spacing w:val="-5"/>
          <w:sz w:val="30"/>
          <w:szCs w:val="30"/>
        </w:rPr>
        <w:t>开展生态文明建设的主题活动。为增强生态文明宣传的趣味</w:t>
      </w:r>
    </w:p>
    <w:p>
      <w:pPr>
        <w:spacing w:line="214" w:lineRule="auto"/>
        <w:rPr>
          <w:sz w:val="30"/>
          <w:szCs w:val="30"/>
        </w:rPr>
        <w:sectPr>
          <w:headerReference r:id="rId103" w:type="default"/>
          <w:footerReference r:id="rId104" w:type="default"/>
          <w:pgSz w:w="11906" w:h="16839"/>
          <w:pgMar w:top="1191" w:right="1572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214" w:lineRule="auto"/>
        <w:jc w:val="right"/>
        <w:outlineLvl w:val="0"/>
        <w:rPr>
          <w:sz w:val="30"/>
          <w:szCs w:val="30"/>
        </w:rPr>
      </w:pPr>
      <w:bookmarkStart w:id="85" w:name="bookmark77"/>
      <w:bookmarkEnd w:id="85"/>
      <w:bookmarkStart w:id="86" w:name="bookmark79"/>
      <w:bookmarkEnd w:id="86"/>
      <w:r>
        <w:rPr>
          <w:spacing w:val="-3"/>
          <w:sz w:val="30"/>
          <w:szCs w:val="30"/>
        </w:rPr>
        <w:t>性和效果，可以国际湿地日、世界水日、世界气象日、地球日、</w:t>
      </w:r>
    </w:p>
    <w:p>
      <w:pPr>
        <w:pStyle w:val="2"/>
        <w:spacing w:before="172" w:line="314" w:lineRule="auto"/>
        <w:ind w:left="20" w:right="33" w:firstLine="12"/>
        <w:jc w:val="both"/>
        <w:rPr>
          <w:sz w:val="30"/>
          <w:szCs w:val="30"/>
        </w:rPr>
      </w:pPr>
      <w:r>
        <w:rPr>
          <w:spacing w:val="-7"/>
          <w:sz w:val="30"/>
          <w:szCs w:val="30"/>
        </w:rPr>
        <w:t>世界无烟日、世界环境日、世界防治荒漠化和干旱日、世界人</w:t>
      </w:r>
      <w:r>
        <w:rPr>
          <w:spacing w:val="-68"/>
          <w:sz w:val="30"/>
          <w:szCs w:val="30"/>
        </w:rPr>
        <w:t xml:space="preserve"> </w:t>
      </w:r>
      <w:r>
        <w:rPr>
          <w:spacing w:val="-7"/>
          <w:sz w:val="30"/>
          <w:szCs w:val="30"/>
        </w:rPr>
        <w:t>口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日、国际保护臭氧层日、世界动物日等节日为依托，有计划、有</w:t>
      </w:r>
      <w:r>
        <w:rPr>
          <w:spacing w:val="1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针对性地策划和开展系列主题活动。落实好生态文明进社区、进</w:t>
      </w:r>
      <w:r>
        <w:rPr>
          <w:spacing w:val="11"/>
          <w:sz w:val="30"/>
          <w:szCs w:val="30"/>
        </w:rPr>
        <w:t xml:space="preserve"> </w:t>
      </w:r>
      <w:r>
        <w:rPr>
          <w:spacing w:val="-14"/>
          <w:sz w:val="30"/>
          <w:szCs w:val="30"/>
        </w:rPr>
        <w:t>家庭、进机关、进学校、进企业、进景区、进交通、进酒店等“八</w:t>
      </w:r>
      <w:r>
        <w:rPr>
          <w:spacing w:val="5"/>
          <w:sz w:val="30"/>
          <w:szCs w:val="30"/>
        </w:rPr>
        <w:t xml:space="preserve"> </w:t>
      </w:r>
      <w:r>
        <w:rPr>
          <w:sz w:val="30"/>
          <w:szCs w:val="30"/>
        </w:rPr>
        <w:t>进”活动的开展，形成一个全面、立体的生</w:t>
      </w:r>
      <w:r>
        <w:rPr>
          <w:spacing w:val="-1"/>
          <w:sz w:val="30"/>
          <w:szCs w:val="30"/>
        </w:rPr>
        <w:t>态文明宣传网络。</w:t>
      </w:r>
    </w:p>
    <w:p>
      <w:pPr>
        <w:pStyle w:val="2"/>
        <w:spacing w:before="48" w:line="316" w:lineRule="auto"/>
        <w:ind w:left="25" w:firstLine="595"/>
        <w:jc w:val="both"/>
        <w:rPr>
          <w:sz w:val="30"/>
          <w:szCs w:val="30"/>
        </w:rPr>
      </w:pPr>
      <w:r>
        <w:rPr>
          <w:spacing w:val="-3"/>
          <w:sz w:val="30"/>
          <w:szCs w:val="30"/>
        </w:rPr>
        <w:t>健全生态环境信息公开制度。将生态文明建设的重大决策、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文件、项目进展等相关内容纳入“根河市政府信息公开平台”的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“重点领域”中。借助政府官方微信、微博平台推送生态文明建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设的相关内容，采取调查公众意见、咨询专家意见、座谈会、论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证会、听证会等形式，对生态文明建设政策制定等公开征求公众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意见。</w:t>
      </w:r>
    </w:p>
    <w:p>
      <w:pPr>
        <w:spacing w:line="316" w:lineRule="auto"/>
        <w:rPr>
          <w:sz w:val="30"/>
          <w:szCs w:val="30"/>
        </w:rPr>
        <w:sectPr>
          <w:headerReference r:id="rId105" w:type="default"/>
          <w:footerReference r:id="rId106" w:type="default"/>
          <w:pgSz w:w="11906" w:h="16839"/>
          <w:pgMar w:top="1191" w:right="1766" w:bottom="1152" w:left="1785" w:header="882" w:footer="987" w:gutter="0"/>
          <w:cols w:space="720" w:num="1"/>
        </w:sectPr>
      </w:pPr>
    </w:p>
    <w:p>
      <w:pPr>
        <w:spacing w:line="455" w:lineRule="auto"/>
        <w:rPr>
          <w:rFonts w:ascii="Arial"/>
          <w:sz w:val="21"/>
        </w:rPr>
      </w:pPr>
    </w:p>
    <w:p>
      <w:pPr>
        <w:spacing w:before="101" w:line="218" w:lineRule="auto"/>
        <w:ind w:left="26"/>
        <w:outlineLvl w:val="1"/>
        <w:rPr>
          <w:rFonts w:ascii="黑体" w:hAnsi="黑体" w:eastAsia="黑体" w:cs="黑体"/>
          <w:sz w:val="31"/>
          <w:szCs w:val="31"/>
        </w:rPr>
      </w:pPr>
      <w:bookmarkStart w:id="87" w:name="bookmark70"/>
      <w:bookmarkEnd w:id="87"/>
      <w:bookmarkStart w:id="88" w:name="bookmark72"/>
      <w:bookmarkEnd w:id="88"/>
      <w:r>
        <w:rPr>
          <w:rFonts w:ascii="黑体" w:hAnsi="黑体" w:eastAsia="黑体" w:cs="黑体"/>
          <w:b/>
          <w:bCs/>
          <w:spacing w:val="7"/>
          <w:sz w:val="31"/>
          <w:szCs w:val="31"/>
        </w:rPr>
        <w:t>八、健全生态制度体系，提供发展保障</w:t>
      </w:r>
    </w:p>
    <w:p>
      <w:pPr>
        <w:spacing w:before="261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（一）完善生态保护与修复制度</w:t>
      </w:r>
    </w:p>
    <w:p>
      <w:pPr>
        <w:pStyle w:val="2"/>
        <w:spacing w:before="162" w:line="216" w:lineRule="auto"/>
        <w:ind w:left="633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8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b/>
          <w:bCs/>
          <w:spacing w:val="-31"/>
          <w:sz w:val="30"/>
          <w:szCs w:val="30"/>
        </w:rPr>
        <w:t xml:space="preserve"> </w:t>
      </w:r>
      <w:r>
        <w:rPr>
          <w:b/>
          <w:bCs/>
          <w:spacing w:val="-8"/>
          <w:sz w:val="30"/>
          <w:szCs w:val="30"/>
        </w:rPr>
        <w:t>、完善天然林保护制度</w:t>
      </w:r>
    </w:p>
    <w:p>
      <w:pPr>
        <w:pStyle w:val="2"/>
        <w:spacing w:before="167" w:line="317" w:lineRule="auto"/>
        <w:ind w:left="23" w:firstLine="602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加快建立全面保护、系统恢复、用途管控、权责</w:t>
      </w:r>
      <w:r>
        <w:rPr>
          <w:spacing w:val="-5"/>
          <w:sz w:val="30"/>
          <w:szCs w:val="30"/>
        </w:rPr>
        <w:t>明确的天然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林保护修复制度体系。一是完善天然林管护制度。加强管护机构</w:t>
      </w:r>
      <w:r>
        <w:rPr>
          <w:spacing w:val="8"/>
          <w:sz w:val="30"/>
          <w:szCs w:val="30"/>
        </w:rPr>
        <w:t xml:space="preserve"> </w:t>
      </w:r>
      <w:r>
        <w:rPr>
          <w:spacing w:val="-11"/>
          <w:sz w:val="30"/>
          <w:szCs w:val="30"/>
        </w:rPr>
        <w:t>队伍建设，推进管护站点建设和现代信息技术应用，构建全方位、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多角度、高效运转、天地一体的天然林管护网络。健全天然林防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火监测预警体系，加强天然林有害生物监测、预报、防治工作。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建立天然林管护人员培训制度，加强天然林区居民和社区共同参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与天然林管护机制建设。二是健全天然林修复制度。建立退化天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然林修复制度，根据天然林演替规律和发育阶段，科学实施修复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措施，遏制天然林分继续退化。提升天然林保护修复效益监测能</w:t>
      </w:r>
      <w:r>
        <w:rPr>
          <w:spacing w:val="8"/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力。</w:t>
      </w:r>
    </w:p>
    <w:p>
      <w:pPr>
        <w:pStyle w:val="2"/>
        <w:spacing w:before="49" w:line="216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7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b/>
          <w:bCs/>
          <w:spacing w:val="-34"/>
          <w:sz w:val="30"/>
          <w:szCs w:val="30"/>
        </w:rPr>
        <w:t xml:space="preserve"> </w:t>
      </w:r>
      <w:r>
        <w:rPr>
          <w:b/>
          <w:bCs/>
          <w:spacing w:val="-7"/>
          <w:sz w:val="30"/>
          <w:szCs w:val="30"/>
        </w:rPr>
        <w:t>、落实湿地保护制度</w:t>
      </w:r>
    </w:p>
    <w:p>
      <w:pPr>
        <w:pStyle w:val="2"/>
        <w:spacing w:before="171" w:line="316" w:lineRule="auto"/>
        <w:ind w:left="23" w:right="88" w:firstLine="618"/>
        <w:jc w:val="both"/>
        <w:rPr>
          <w:sz w:val="30"/>
          <w:szCs w:val="30"/>
        </w:rPr>
      </w:pPr>
      <w:r>
        <w:rPr>
          <w:spacing w:val="-16"/>
          <w:sz w:val="30"/>
          <w:szCs w:val="30"/>
        </w:rPr>
        <w:t>落实《呼伦贝尔市湿地保护“十四五及远景”</w:t>
      </w:r>
      <w:r>
        <w:rPr>
          <w:spacing w:val="-17"/>
          <w:sz w:val="30"/>
          <w:szCs w:val="30"/>
        </w:rPr>
        <w:t>规划（</w:t>
      </w:r>
      <w:r>
        <w:rPr>
          <w:rFonts w:ascii="Times New Roman" w:hAnsi="Times New Roman" w:eastAsia="Times New Roman" w:cs="Times New Roman"/>
          <w:spacing w:val="-17"/>
          <w:sz w:val="30"/>
          <w:szCs w:val="30"/>
        </w:rPr>
        <w:t>2021-2030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年）》，逐步建立湿地管理协调体系，探索建立湿地的调查与监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测、科研与技术支撑、信息网络、宣传教育体系。依托各级湿地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类型自然保护地，探索设立监测点，提升湿地监测水平。加强湿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地生态保护和综合治理，恢复退化湿地生态功能和周边植被建立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湿地监测、系统评估和预报预警机制，及时掌握天然湿地生态系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统功能变化情况。严禁任何单位或个人擅自改变湿地用途，基本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控制天然湿地破坏性开发，遏制天然湿地下降趋势。</w:t>
      </w:r>
    </w:p>
    <w:p>
      <w:pPr>
        <w:spacing w:before="49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（二）建立健全生态产品价值实现机制</w:t>
      </w:r>
    </w:p>
    <w:p>
      <w:pPr>
        <w:pStyle w:val="2"/>
        <w:spacing w:before="161" w:line="214" w:lineRule="auto"/>
        <w:ind w:left="633"/>
        <w:rPr>
          <w:sz w:val="30"/>
          <w:szCs w:val="30"/>
        </w:rPr>
      </w:pPr>
      <w:bookmarkStart w:id="89" w:name="bookmark74"/>
      <w:bookmarkEnd w:id="89"/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b/>
          <w:bCs/>
          <w:spacing w:val="-37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、推进自然资源资产负债表编制</w:t>
      </w:r>
    </w:p>
    <w:p>
      <w:pPr>
        <w:pStyle w:val="2"/>
        <w:spacing w:before="175" w:line="303" w:lineRule="auto"/>
        <w:ind w:left="35" w:right="88" w:firstLine="591"/>
        <w:rPr>
          <w:sz w:val="30"/>
          <w:szCs w:val="30"/>
        </w:rPr>
      </w:pPr>
      <w:r>
        <w:rPr>
          <w:spacing w:val="-4"/>
          <w:sz w:val="30"/>
          <w:szCs w:val="30"/>
        </w:rPr>
        <w:t>按照国家、自治区和全市安排部署，自然资源资产</w:t>
      </w:r>
      <w:r>
        <w:rPr>
          <w:spacing w:val="-5"/>
          <w:sz w:val="30"/>
          <w:szCs w:val="30"/>
        </w:rPr>
        <w:t>负债表编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制将是一项常态化工作。根据根河市纯林业城市的特征</w:t>
      </w:r>
      <w:r>
        <w:rPr>
          <w:spacing w:val="-5"/>
          <w:sz w:val="30"/>
          <w:szCs w:val="30"/>
        </w:rPr>
        <w:t>，积极探</w:t>
      </w:r>
    </w:p>
    <w:p>
      <w:pPr>
        <w:spacing w:line="303" w:lineRule="auto"/>
        <w:rPr>
          <w:sz w:val="30"/>
          <w:szCs w:val="30"/>
        </w:rPr>
        <w:sectPr>
          <w:headerReference r:id="rId107" w:type="default"/>
          <w:footerReference r:id="rId108" w:type="default"/>
          <w:pgSz w:w="11906" w:h="16839"/>
          <w:pgMar w:top="1191" w:right="1711" w:bottom="1151" w:left="1785" w:header="882" w:footer="987" w:gutter="0"/>
          <w:cols w:space="720" w:num="1"/>
        </w:sectPr>
      </w:pPr>
    </w:p>
    <w:p>
      <w:pPr>
        <w:spacing w:line="305" w:lineRule="auto"/>
        <w:rPr>
          <w:rFonts w:ascii="Arial"/>
          <w:sz w:val="21"/>
        </w:rPr>
      </w:pPr>
    </w:p>
    <w:p>
      <w:pPr>
        <w:pStyle w:val="2"/>
        <w:spacing w:before="98" w:line="316" w:lineRule="auto"/>
        <w:ind w:left="22" w:right="123" w:firstLine="26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索编制自然资源资产负债表，逐步建立健全自然资源资产负债表</w:t>
      </w:r>
      <w:r>
        <w:rPr>
          <w:spacing w:val="10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编制制度，努力摸清自然资源资产的家底及其变动情况。同时，</w:t>
      </w:r>
      <w:r>
        <w:rPr>
          <w:spacing w:val="1"/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以自然资源资产负债表作为工具进一步加快建立统一的自然资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源资产产权登记系统和权责分明的产权体系，建设自然资本大数</w:t>
      </w:r>
      <w:r>
        <w:rPr>
          <w:spacing w:val="9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据平台，积极探索增加生态产品交易种类、健全市场交易机制，</w:t>
      </w:r>
      <w:r>
        <w:rPr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促进生态资源资产化、可量化、可营化，推动生态资产确权生态</w:t>
      </w:r>
      <w:r>
        <w:rPr>
          <w:spacing w:val="6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产品交易。</w:t>
      </w:r>
    </w:p>
    <w:p>
      <w:pPr>
        <w:pStyle w:val="2"/>
        <w:spacing w:before="48" w:line="214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b/>
          <w:bCs/>
          <w:spacing w:val="-28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、建立生态产品价值评价体系</w:t>
      </w:r>
    </w:p>
    <w:p>
      <w:pPr>
        <w:pStyle w:val="2"/>
        <w:spacing w:before="174" w:line="317" w:lineRule="auto"/>
        <w:ind w:left="22" w:right="143" w:firstLine="606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积极争取列入国家和自治区生态产品价值实现机</w:t>
      </w:r>
      <w:r>
        <w:rPr>
          <w:spacing w:val="-5"/>
          <w:sz w:val="30"/>
          <w:szCs w:val="30"/>
        </w:rPr>
        <w:t>制试点，在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生态产品价值核算、供需精准对接、可持续经营开发、保护补偿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等方面开展积极探索。加快建立覆盖各级行政区域的生态产品价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值核算统计报表制度；构建生态产品总值核算数据标准化收集体</w:t>
      </w:r>
      <w:r>
        <w:rPr>
          <w:spacing w:val="9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系，以生态系统生产总值（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GEP</w:t>
      </w:r>
      <w:r>
        <w:rPr>
          <w:spacing w:val="-3"/>
          <w:sz w:val="30"/>
          <w:szCs w:val="30"/>
        </w:rPr>
        <w:t>）核算体系管理生态资产，深入</w:t>
      </w:r>
      <w:r>
        <w:rPr>
          <w:spacing w:val="1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推进生态产品价值核算；推进生态产品价值核算结果在政府决策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和绩效考核评价中的应用，探索在编制各类规划和实施工程项目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建设时，结合生态产品实物量和价值核算结果采取必要的补偿措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施，确保生态产品保值增值。推动生态产品价值核算结果在生态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保护补偿、生态环境损害赔偿、经营开发融资、生态资源权益交</w:t>
      </w:r>
      <w:r>
        <w:rPr>
          <w:spacing w:val="9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易等方面的应用。</w:t>
      </w:r>
    </w:p>
    <w:p>
      <w:pPr>
        <w:pStyle w:val="2"/>
        <w:spacing w:before="52" w:line="214" w:lineRule="auto"/>
        <w:ind w:left="618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b/>
          <w:bCs/>
          <w:spacing w:val="-39"/>
          <w:sz w:val="30"/>
          <w:szCs w:val="30"/>
        </w:rPr>
        <w:t xml:space="preserve"> </w:t>
      </w:r>
      <w:r>
        <w:rPr>
          <w:b/>
          <w:bCs/>
          <w:spacing w:val="-5"/>
          <w:sz w:val="30"/>
          <w:szCs w:val="30"/>
        </w:rPr>
        <w:t>、健全生态资源权益交易机制</w:t>
      </w:r>
    </w:p>
    <w:p>
      <w:pPr>
        <w:pStyle w:val="2"/>
        <w:spacing w:before="169" w:line="315" w:lineRule="auto"/>
        <w:ind w:left="33" w:firstLine="589"/>
        <w:jc w:val="both"/>
        <w:rPr>
          <w:sz w:val="30"/>
          <w:szCs w:val="30"/>
        </w:rPr>
      </w:pPr>
      <w:r>
        <w:rPr>
          <w:spacing w:val="1"/>
          <w:sz w:val="30"/>
          <w:szCs w:val="30"/>
        </w:rPr>
        <w:t>促进生态产品供需精准对接，探索推动生态资源权益交易，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结合国家和自治区有关部署，探索开展用能权、碳排放权、</w:t>
      </w:r>
      <w:r>
        <w:rPr>
          <w:spacing w:val="-5"/>
          <w:sz w:val="30"/>
          <w:szCs w:val="30"/>
        </w:rPr>
        <w:t>排污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权、水权交易和气候生态价值评估等。重点推进碳汇开发，</w:t>
      </w:r>
      <w:r>
        <w:rPr>
          <w:spacing w:val="-5"/>
          <w:sz w:val="30"/>
          <w:szCs w:val="30"/>
        </w:rPr>
        <w:t>加强</w:t>
      </w:r>
      <w:r>
        <w:rPr>
          <w:sz w:val="30"/>
          <w:szCs w:val="30"/>
        </w:rPr>
        <w:t xml:space="preserve">  </w:t>
      </w:r>
      <w:r>
        <w:rPr>
          <w:spacing w:val="-5"/>
          <w:sz w:val="30"/>
          <w:szCs w:val="30"/>
        </w:rPr>
        <w:t>与国家碳市场、碳排放权交易、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>CCER</w:t>
      </w:r>
      <w:r>
        <w:rPr>
          <w:spacing w:val="-5"/>
          <w:sz w:val="30"/>
          <w:szCs w:val="30"/>
        </w:rPr>
        <w:t>（国家核证自愿减</w:t>
      </w:r>
      <w:r>
        <w:rPr>
          <w:spacing w:val="-6"/>
          <w:sz w:val="30"/>
          <w:szCs w:val="30"/>
        </w:rPr>
        <w:t>排标准）</w:t>
      </w:r>
      <w:r>
        <w:rPr>
          <w:sz w:val="30"/>
          <w:szCs w:val="30"/>
        </w:rPr>
        <w:t xml:space="preserve"> 等政策对接，批次开展 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CCER  </w:t>
      </w:r>
      <w:r>
        <w:rPr>
          <w:sz w:val="30"/>
          <w:szCs w:val="30"/>
        </w:rPr>
        <w:t>造林和森林经营项目储备。实现</w:t>
      </w:r>
      <w:r>
        <w:rPr>
          <w:spacing w:val="1"/>
          <w:sz w:val="30"/>
          <w:szCs w:val="30"/>
        </w:rPr>
        <w:t xml:space="preserve">  </w:t>
      </w:r>
      <w:r>
        <w:rPr>
          <w:spacing w:val="-2"/>
          <w:sz w:val="30"/>
          <w:szCs w:val="30"/>
        </w:rPr>
        <w:t>绿色生态资源可变现可交易。</w:t>
      </w:r>
    </w:p>
    <w:p>
      <w:pPr>
        <w:spacing w:line="315" w:lineRule="auto"/>
        <w:rPr>
          <w:sz w:val="30"/>
          <w:szCs w:val="30"/>
        </w:rPr>
        <w:sectPr>
          <w:headerReference r:id="rId109" w:type="default"/>
          <w:footerReference r:id="rId110" w:type="default"/>
          <w:pgSz w:w="11906" w:h="16839"/>
          <w:pgMar w:top="1191" w:right="1655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214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4</w:t>
      </w:r>
      <w:r>
        <w:rPr>
          <w:rFonts w:ascii="Times New Roman" w:hAnsi="Times New Roman" w:eastAsia="Times New Roman" w:cs="Times New Roman"/>
          <w:b/>
          <w:bCs/>
          <w:spacing w:val="-36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、建立生态保护补偿制度</w:t>
      </w:r>
    </w:p>
    <w:p>
      <w:pPr>
        <w:pStyle w:val="2"/>
        <w:spacing w:before="170" w:line="315" w:lineRule="auto"/>
        <w:ind w:left="38" w:right="13" w:firstLine="584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建立综合补偿制度，完善重点生态功能区生态补偿机制。推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动建立生态环境要素横向补偿机制，探索与下</w:t>
      </w:r>
      <w:r>
        <w:rPr>
          <w:spacing w:val="-5"/>
          <w:sz w:val="30"/>
          <w:szCs w:val="30"/>
        </w:rPr>
        <w:t>游地区通过协商谈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判等方式，在重点流域、重要水源工程和重要</w:t>
      </w:r>
      <w:r>
        <w:rPr>
          <w:spacing w:val="-5"/>
          <w:sz w:val="30"/>
          <w:szCs w:val="30"/>
        </w:rPr>
        <w:t>饮用水水源地等方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面建立横向生态保护补偿机制；探索大气等其</w:t>
      </w:r>
      <w:r>
        <w:rPr>
          <w:spacing w:val="-5"/>
          <w:sz w:val="30"/>
          <w:szCs w:val="30"/>
        </w:rPr>
        <w:t>他生态环境要素横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向生态保护补偿方式。探索多样化补偿方式，</w:t>
      </w:r>
      <w:r>
        <w:rPr>
          <w:spacing w:val="-5"/>
          <w:sz w:val="30"/>
          <w:szCs w:val="30"/>
        </w:rPr>
        <w:t>鼓励通过发行企业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生态债券和社会捐助等方式，拓宽生态保护补偿资金渠道。</w:t>
      </w:r>
    </w:p>
    <w:p>
      <w:pPr>
        <w:pStyle w:val="2"/>
        <w:spacing w:before="51" w:line="213" w:lineRule="auto"/>
        <w:ind w:left="624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5</w:t>
      </w:r>
      <w:r>
        <w:rPr>
          <w:rFonts w:ascii="Times New Roman" w:hAnsi="Times New Roman" w:eastAsia="Times New Roman" w:cs="Times New Roman"/>
          <w:b/>
          <w:bCs/>
          <w:spacing w:val="-31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、完善生态环境损害赔偿制度</w:t>
      </w:r>
    </w:p>
    <w:p>
      <w:pPr>
        <w:pStyle w:val="2"/>
        <w:spacing w:before="179" w:line="315" w:lineRule="auto"/>
        <w:ind w:left="16" w:right="13" w:firstLine="609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加强案例线索筛查、重大案件追踪办理和修复效果评</w:t>
      </w:r>
      <w:r>
        <w:rPr>
          <w:spacing w:val="-5"/>
          <w:sz w:val="30"/>
          <w:szCs w:val="30"/>
        </w:rPr>
        <w:t>估，提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升生态环境损害赔偿司法鉴定、评估评价、生态修复等专业化能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力。强化生态环境修复与损害赔偿的执行和监督，进一步解决生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态环境损害只罚不赔、违法成本低的问题。加强生态环境损害赔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偿制度与检察公益诉讼衔接，建立线索双移送机制，强化与检察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机关的协作配合，形成生态环境保护合力。探索生态环境损害惩</w:t>
      </w:r>
      <w:r>
        <w:rPr>
          <w:spacing w:val="14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罚性赔偿机制，倒逼企业严格履行环境保护责任。</w:t>
      </w:r>
    </w:p>
    <w:p>
      <w:pPr>
        <w:spacing w:before="49" w:line="221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（三）健全生态文明建设多元共治体系</w:t>
      </w:r>
    </w:p>
    <w:p>
      <w:pPr>
        <w:pStyle w:val="2"/>
        <w:spacing w:before="163" w:line="213" w:lineRule="auto"/>
        <w:ind w:left="633"/>
        <w:rPr>
          <w:sz w:val="30"/>
          <w:szCs w:val="30"/>
        </w:rPr>
      </w:pPr>
      <w:bookmarkStart w:id="90" w:name="bookmark76"/>
      <w:bookmarkEnd w:id="90"/>
      <w:r>
        <w:rPr>
          <w:rFonts w:ascii="Times New Roman" w:hAnsi="Times New Roman" w:eastAsia="Times New Roman" w:cs="Times New Roman"/>
          <w:b/>
          <w:bCs/>
          <w:spacing w:val="-7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b/>
          <w:bCs/>
          <w:spacing w:val="-36"/>
          <w:sz w:val="30"/>
          <w:szCs w:val="30"/>
        </w:rPr>
        <w:t xml:space="preserve"> </w:t>
      </w:r>
      <w:r>
        <w:rPr>
          <w:b/>
          <w:bCs/>
          <w:spacing w:val="-7"/>
          <w:sz w:val="30"/>
          <w:szCs w:val="30"/>
        </w:rPr>
        <w:t>、健全企业环境信用制度</w:t>
      </w:r>
    </w:p>
    <w:p>
      <w:pPr>
        <w:pStyle w:val="2"/>
        <w:spacing w:before="181" w:line="316" w:lineRule="auto"/>
        <w:ind w:left="16" w:right="13" w:firstLine="604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健全环保信用信息归集、评价、奖惩机制，构建以环保信用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评级为基础的分级分类差别化信用监管模式。建立健全环保企业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的信用全过程监管。加强事前环节信用监管，强化市场主体准入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管理，做好信用核查，依法依规制约严重失信主体市场准入。加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强事中环节信用监管，依托生态环境大数据平台，加强对企业环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境管理信息数据的采集、整理。完善事后环节信用监管，对环保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信用良好的企业，在绿色信贷等方面予以优先支持；建立排污企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业黑名单制度，将环境违法企业依法依规纳入失信联合惩戒对象</w:t>
      </w:r>
      <w:r>
        <w:rPr>
          <w:spacing w:val="1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名单，将其失信信息记入信用记录，纳入根河市信用一体化监管</w:t>
      </w:r>
    </w:p>
    <w:p>
      <w:pPr>
        <w:spacing w:line="316" w:lineRule="auto"/>
        <w:rPr>
          <w:sz w:val="30"/>
          <w:szCs w:val="30"/>
        </w:rPr>
        <w:sectPr>
          <w:headerReference r:id="rId111" w:type="default"/>
          <w:footerReference r:id="rId112" w:type="default"/>
          <w:pgSz w:w="11906" w:h="16839"/>
          <w:pgMar w:top="1191" w:right="1785" w:bottom="1152" w:left="1785" w:header="882" w:footer="987" w:gutter="0"/>
          <w:cols w:space="720" w:num="1"/>
        </w:sectPr>
      </w:pPr>
    </w:p>
    <w:p>
      <w:pPr>
        <w:spacing w:line="308" w:lineRule="auto"/>
        <w:rPr>
          <w:rFonts w:ascii="Arial"/>
          <w:sz w:val="21"/>
        </w:rPr>
      </w:pPr>
    </w:p>
    <w:p>
      <w:pPr>
        <w:pStyle w:val="2"/>
        <w:spacing w:before="97" w:line="214" w:lineRule="auto"/>
        <w:ind w:left="29"/>
        <w:rPr>
          <w:sz w:val="30"/>
          <w:szCs w:val="30"/>
        </w:rPr>
      </w:pPr>
      <w:r>
        <w:rPr>
          <w:spacing w:val="-1"/>
          <w:sz w:val="30"/>
          <w:szCs w:val="30"/>
        </w:rPr>
        <w:t>服务平台，依法向社会公开，强化环保信用的约束力。</w:t>
      </w:r>
    </w:p>
    <w:p>
      <w:pPr>
        <w:pStyle w:val="2"/>
        <w:spacing w:before="173" w:line="213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7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b/>
          <w:bCs/>
          <w:spacing w:val="-34"/>
          <w:sz w:val="30"/>
          <w:szCs w:val="30"/>
        </w:rPr>
        <w:t xml:space="preserve"> </w:t>
      </w:r>
      <w:r>
        <w:rPr>
          <w:b/>
          <w:bCs/>
          <w:spacing w:val="-7"/>
          <w:sz w:val="30"/>
          <w:szCs w:val="30"/>
        </w:rPr>
        <w:t>、公开环境治理信息</w:t>
      </w:r>
    </w:p>
    <w:p>
      <w:pPr>
        <w:pStyle w:val="2"/>
        <w:spacing w:before="181" w:line="316" w:lineRule="auto"/>
        <w:ind w:left="18" w:firstLine="606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督促企业落实环境信息强制性披露法定义务，加强对</w:t>
      </w:r>
      <w:r>
        <w:rPr>
          <w:spacing w:val="-5"/>
          <w:sz w:val="30"/>
          <w:szCs w:val="30"/>
        </w:rPr>
        <w:t>环境信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息强制性披露企业的管理。按年度确定全市环境信息依法披露企</w:t>
      </w:r>
      <w:r>
        <w:rPr>
          <w:spacing w:val="12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业名单，并向社会公布；强化信息共享，推动环境信息跨部门、</w:t>
      </w:r>
      <w:r>
        <w:rPr>
          <w:spacing w:val="1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跨领域、跨地区互联互通、共享共用，及时将相关环境信息提供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给有关部门；将环境信息依法披露纳入企业信用管理，作为评价</w:t>
      </w:r>
      <w:r>
        <w:rPr>
          <w:spacing w:val="12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企业信用的重要指标。丰富企业信息公开形式。通过加强宣传，</w:t>
      </w:r>
      <w:r>
        <w:rPr>
          <w:spacing w:val="1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鼓励企业开展自愿性信息公开，扩展公众对企业的知情范围；推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动企业在确保安全生产前提下，通过设立企业开放日、建设教育</w:t>
      </w:r>
      <w:r>
        <w:rPr>
          <w:spacing w:val="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体验场所等形式，向社会公众开放，接受公众监督。</w:t>
      </w:r>
    </w:p>
    <w:p>
      <w:pPr>
        <w:pStyle w:val="2"/>
        <w:spacing w:before="51" w:line="214" w:lineRule="auto"/>
        <w:ind w:left="618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b/>
          <w:bCs/>
          <w:spacing w:val="-33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、健全政府信息公开制度</w:t>
      </w:r>
    </w:p>
    <w:p>
      <w:pPr>
        <w:pStyle w:val="2"/>
        <w:spacing w:before="168" w:line="315" w:lineRule="auto"/>
        <w:ind w:left="22" w:right="33" w:firstLine="610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扩大政府环境信息主动公开范围，积极开展生态文明建设与</w:t>
      </w:r>
      <w:r>
        <w:rPr>
          <w:spacing w:val="1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生态环境保护规划、政策法规制度、污染防治攻坚战、中央和省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级环保督察、减污降碳、碳达峰碳中和、生物多样性与生物安全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保护等主题宣传，重点公开重大建设项目环评、企业污染、重大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环境事故的预防预警、抢险救灾等环境信息。按年度向社会公布</w:t>
      </w:r>
      <w:r>
        <w:rPr>
          <w:spacing w:val="9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全市环境信息依法披露的企业名单。</w:t>
      </w:r>
    </w:p>
    <w:p>
      <w:pPr>
        <w:pStyle w:val="2"/>
        <w:spacing w:before="51" w:line="213" w:lineRule="auto"/>
        <w:ind w:left="621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4</w:t>
      </w:r>
      <w:r>
        <w:rPr>
          <w:rFonts w:ascii="Times New Roman" w:hAnsi="Times New Roman" w:eastAsia="Times New Roman" w:cs="Times New Roman"/>
          <w:b/>
          <w:bCs/>
          <w:spacing w:val="-28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、完善企业环境信息公开制度</w:t>
      </w:r>
    </w:p>
    <w:p>
      <w:pPr>
        <w:pStyle w:val="2"/>
        <w:spacing w:before="173" w:line="315" w:lineRule="auto"/>
        <w:ind w:left="24" w:right="12" w:firstLine="620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强化企业环境信息和数据公开的责任，督促企业按规定公开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污染物排放信息。将环境信息依法披露纳入企业信用管理，作为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评价企业信用的重要指标。鼓励企业开展自愿性信息公开，扩展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公众对企业的知情范围。推动企业在确保安全生产前提下，通过</w:t>
      </w:r>
      <w:r>
        <w:rPr>
          <w:spacing w:val="6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设立企业开放日、建设教育体验场所等形式，向社会公众开放，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接受公众监督。</w:t>
      </w:r>
    </w:p>
    <w:p>
      <w:pPr>
        <w:pStyle w:val="2"/>
        <w:spacing w:before="50" w:line="214" w:lineRule="auto"/>
        <w:ind w:left="624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0"/>
          <w:szCs w:val="30"/>
        </w:rPr>
        <w:t>5</w:t>
      </w:r>
      <w:r>
        <w:rPr>
          <w:rFonts w:ascii="Times New Roman" w:hAnsi="Times New Roman" w:eastAsia="Times New Roman" w:cs="Times New Roman"/>
          <w:b/>
          <w:bCs/>
          <w:spacing w:val="-28"/>
          <w:sz w:val="30"/>
          <w:szCs w:val="30"/>
        </w:rPr>
        <w:t xml:space="preserve"> </w:t>
      </w:r>
      <w:r>
        <w:rPr>
          <w:b/>
          <w:bCs/>
          <w:spacing w:val="-6"/>
          <w:sz w:val="30"/>
          <w:szCs w:val="30"/>
        </w:rPr>
        <w:t>、推进公众监督和举报反馈机制</w:t>
      </w:r>
    </w:p>
    <w:p>
      <w:pPr>
        <w:spacing w:line="214" w:lineRule="auto"/>
        <w:rPr>
          <w:sz w:val="30"/>
          <w:szCs w:val="30"/>
        </w:rPr>
        <w:sectPr>
          <w:headerReference r:id="rId113" w:type="default"/>
          <w:footerReference r:id="rId114" w:type="default"/>
          <w:pgSz w:w="11906" w:h="16839"/>
          <w:pgMar w:top="1191" w:right="1766" w:bottom="1151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7" w:line="315" w:lineRule="auto"/>
        <w:ind w:left="21" w:firstLine="600"/>
        <w:rPr>
          <w:sz w:val="30"/>
          <w:szCs w:val="30"/>
        </w:rPr>
      </w:pPr>
      <w:r>
        <w:rPr>
          <w:spacing w:val="-4"/>
          <w:sz w:val="30"/>
          <w:szCs w:val="30"/>
        </w:rPr>
        <w:t>健全举报反馈、听证、舆论监督等公众参与机制，鼓励公众</w:t>
      </w:r>
      <w:r>
        <w:rPr>
          <w:spacing w:val="1"/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参与生态环境保护监督；认真做好舆情应对和信访案件查处工作，</w:t>
      </w:r>
      <w:r>
        <w:rPr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依托生态环境信访投诉举报联网管理平台，整合公众监督举报、</w:t>
      </w:r>
      <w:r>
        <w:rPr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群众信访等资源，畅通“</w:t>
      </w:r>
      <w:r>
        <w:rPr>
          <w:spacing w:val="-11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>12369</w:t>
      </w:r>
      <w:r>
        <w:rPr>
          <w:spacing w:val="-5"/>
          <w:sz w:val="30"/>
          <w:szCs w:val="30"/>
        </w:rPr>
        <w:t>”“</w:t>
      </w:r>
      <w:r>
        <w:rPr>
          <w:spacing w:val="-11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>12345</w:t>
      </w:r>
      <w:r>
        <w:rPr>
          <w:spacing w:val="-5"/>
          <w:sz w:val="30"/>
          <w:szCs w:val="30"/>
        </w:rPr>
        <w:t>”等环保监</w:t>
      </w:r>
      <w:r>
        <w:rPr>
          <w:spacing w:val="-6"/>
          <w:sz w:val="30"/>
          <w:szCs w:val="30"/>
        </w:rPr>
        <w:t>督渠道，实</w:t>
      </w:r>
      <w:r>
        <w:rPr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现信访投诉信息“一网登记、一网转办、一网处理、一网回复”，</w:t>
      </w:r>
      <w:r>
        <w:rPr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切实维护人民群众的生态环境权益。</w:t>
      </w:r>
    </w:p>
    <w:p>
      <w:pPr>
        <w:pStyle w:val="2"/>
        <w:spacing w:before="49" w:line="214" w:lineRule="auto"/>
        <w:ind w:left="625"/>
        <w:rPr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0"/>
          <w:szCs w:val="30"/>
        </w:rPr>
        <w:t>6</w:t>
      </w:r>
      <w:r>
        <w:rPr>
          <w:rFonts w:ascii="Times New Roman" w:hAnsi="Times New Roman" w:eastAsia="Times New Roman" w:cs="Times New Roman"/>
          <w:b/>
          <w:bCs/>
          <w:spacing w:val="-39"/>
          <w:sz w:val="30"/>
          <w:szCs w:val="30"/>
        </w:rPr>
        <w:t xml:space="preserve"> </w:t>
      </w:r>
      <w:r>
        <w:rPr>
          <w:b/>
          <w:bCs/>
          <w:spacing w:val="-5"/>
          <w:sz w:val="30"/>
          <w:szCs w:val="30"/>
        </w:rPr>
        <w:t>、形成多元化投入机制与治理模式</w:t>
      </w:r>
    </w:p>
    <w:p>
      <w:pPr>
        <w:pStyle w:val="2"/>
        <w:spacing w:before="170" w:line="316" w:lineRule="auto"/>
        <w:ind w:left="22" w:right="206" w:firstLine="603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探索设立生态文明建设基金，以动员更多企业和民间</w:t>
      </w:r>
      <w:r>
        <w:rPr>
          <w:spacing w:val="-5"/>
          <w:sz w:val="30"/>
          <w:szCs w:val="30"/>
        </w:rPr>
        <w:t>力量参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与根河生态文明建设事业。鼓励和吸引国内外民间资本投资生态</w:t>
      </w:r>
      <w:r>
        <w:rPr>
          <w:spacing w:val="9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保护，形成多元化的投资格局。创新完善各类环保投融资方式，</w:t>
      </w:r>
      <w:r>
        <w:rPr>
          <w:spacing w:val="1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鼓励社会资本进入环保市场，引导社会资金参与河道治理、污水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处理、垃圾处置等生态环保基础设施建设和运营。积极尝试以生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态环境导向（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EOD</w:t>
      </w:r>
      <w:r>
        <w:rPr>
          <w:spacing w:val="-4"/>
          <w:sz w:val="30"/>
          <w:szCs w:val="30"/>
        </w:rPr>
        <w:t>）的开发模式，破解生态环境治理与</w:t>
      </w:r>
      <w:r>
        <w:rPr>
          <w:spacing w:val="-5"/>
          <w:sz w:val="30"/>
          <w:szCs w:val="30"/>
        </w:rPr>
        <w:t>产业发展</w:t>
      </w:r>
      <w:r>
        <w:rPr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瓶颈。</w:t>
      </w:r>
    </w:p>
    <w:p>
      <w:pPr>
        <w:spacing w:before="198" w:line="228" w:lineRule="auto"/>
        <w:ind w:left="34"/>
        <w:outlineLvl w:val="1"/>
        <w:rPr>
          <w:rFonts w:ascii="黑体" w:hAnsi="黑体" w:eastAsia="黑体" w:cs="黑体"/>
          <w:sz w:val="31"/>
          <w:szCs w:val="31"/>
        </w:rPr>
      </w:pPr>
      <w:bookmarkStart w:id="91" w:name="bookmark78"/>
      <w:bookmarkEnd w:id="91"/>
      <w:bookmarkStart w:id="92" w:name="bookmark80"/>
      <w:bookmarkEnd w:id="92"/>
      <w:r>
        <w:rPr>
          <w:rFonts w:ascii="黑体" w:hAnsi="黑体" w:eastAsia="黑体" w:cs="黑体"/>
          <w:b/>
          <w:bCs/>
          <w:spacing w:val="4"/>
          <w:sz w:val="31"/>
          <w:szCs w:val="31"/>
        </w:rPr>
        <w:t>九、保障措施</w:t>
      </w:r>
    </w:p>
    <w:p>
      <w:pPr>
        <w:spacing w:before="247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6"/>
          <w:sz w:val="30"/>
          <w:szCs w:val="30"/>
        </w:rPr>
        <w:t>（一）组织保障</w:t>
      </w:r>
    </w:p>
    <w:p>
      <w:pPr>
        <w:pStyle w:val="2"/>
        <w:spacing w:before="157" w:line="314" w:lineRule="auto"/>
        <w:ind w:left="25" w:right="226" w:firstLine="618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强化党的领导。按照党政同责、“一岗双责”要求，构建职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责清晰、分工明确、协同推进的立体责任体系，建立健全市党委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政府总体负责、乡镇（街道）逐级落实、全社会共同参与的上下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联动、整体推进的生态文明建设工作机制。加强统筹协调，凝聚</w:t>
      </w:r>
      <w:r>
        <w:rPr>
          <w:spacing w:val="5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政策合力，压实领导责任，加大压力传导，强化激励约束。</w:t>
      </w:r>
    </w:p>
    <w:p>
      <w:pPr>
        <w:pStyle w:val="2"/>
        <w:spacing w:before="53" w:line="312" w:lineRule="auto"/>
        <w:ind w:left="24" w:right="199" w:firstLine="598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建立组织机构。成立根河市国家生态文明建设示范市工作领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导小组，加强生态文明建设顶层设计、全面指导和总体协调，制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定市级生态文明建设目标任务考评管理办法，实行定期调度、考</w:t>
      </w:r>
      <w:r>
        <w:rPr>
          <w:spacing w:val="6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核排名。统筹重大项目资金筹措，切实推动重大项目落地实施。</w:t>
      </w:r>
    </w:p>
    <w:p>
      <w:pPr>
        <w:pStyle w:val="2"/>
        <w:spacing w:before="49" w:line="214" w:lineRule="auto"/>
        <w:ind w:left="623"/>
        <w:rPr>
          <w:sz w:val="30"/>
          <w:szCs w:val="30"/>
        </w:rPr>
      </w:pPr>
      <w:r>
        <w:rPr>
          <w:spacing w:val="-3"/>
          <w:sz w:val="30"/>
          <w:szCs w:val="30"/>
        </w:rPr>
        <w:t>压实部门责任。各级政府和有关部门“一把手”亲自抓、负</w:t>
      </w:r>
    </w:p>
    <w:p>
      <w:pPr>
        <w:spacing w:line="214" w:lineRule="auto"/>
        <w:rPr>
          <w:sz w:val="30"/>
          <w:szCs w:val="30"/>
        </w:rPr>
        <w:sectPr>
          <w:headerReference r:id="rId115" w:type="default"/>
          <w:footerReference r:id="rId116" w:type="default"/>
          <w:pgSz w:w="11906" w:h="16839"/>
          <w:pgMar w:top="1191" w:right="1572" w:bottom="1150" w:left="1785" w:header="882" w:footer="987" w:gutter="0"/>
          <w:cols w:space="720" w:num="1"/>
        </w:sectPr>
      </w:pPr>
    </w:p>
    <w:p>
      <w:pPr>
        <w:spacing w:line="306" w:lineRule="auto"/>
        <w:rPr>
          <w:rFonts w:ascii="Arial"/>
          <w:sz w:val="21"/>
        </w:rPr>
      </w:pPr>
    </w:p>
    <w:p>
      <w:pPr>
        <w:pStyle w:val="2"/>
        <w:spacing w:before="97" w:line="310" w:lineRule="auto"/>
        <w:ind w:left="29" w:right="234" w:firstLine="16"/>
        <w:jc w:val="both"/>
        <w:rPr>
          <w:sz w:val="30"/>
          <w:szCs w:val="30"/>
        </w:rPr>
      </w:pPr>
      <w:r>
        <w:rPr>
          <w:spacing w:val="-5"/>
          <w:sz w:val="30"/>
          <w:szCs w:val="30"/>
        </w:rPr>
        <w:t>总责，真正担负起生态文明建设的主体责任，把生态文明建设示</w:t>
      </w:r>
      <w:r>
        <w:rPr>
          <w:spacing w:val="1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范市建设各项任务纳入部门年度工作计划，不折不扣落实创建工</w:t>
      </w:r>
      <w:r>
        <w:rPr>
          <w:spacing w:val="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作年度目标和任务，确保规划目标任务如期、保质完成。</w:t>
      </w:r>
    </w:p>
    <w:p>
      <w:pPr>
        <w:spacing w:before="49" w:line="223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bookmarkStart w:id="93" w:name="bookmark82"/>
      <w:bookmarkEnd w:id="93"/>
      <w:r>
        <w:rPr>
          <w:rFonts w:ascii="黑体" w:hAnsi="黑体" w:eastAsia="黑体" w:cs="黑体"/>
          <w:spacing w:val="-6"/>
          <w:sz w:val="30"/>
          <w:szCs w:val="30"/>
        </w:rPr>
        <w:t>（二）法制保障</w:t>
      </w:r>
    </w:p>
    <w:p>
      <w:pPr>
        <w:pStyle w:val="2"/>
        <w:spacing w:before="160" w:line="313" w:lineRule="auto"/>
        <w:ind w:left="26" w:right="234" w:firstLine="594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健全实施严密法制。严格实施生态文明建设考核管理，加大</w:t>
      </w:r>
      <w:r>
        <w:rPr>
          <w:spacing w:val="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资源消耗、环境损害、生态效益等指标的考核权重，对不同主体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功能区实行差异化绩效评价考核，引导自觉走生态优先、绿色发</w:t>
      </w:r>
      <w:r>
        <w:rPr>
          <w:spacing w:val="4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展之路。</w:t>
      </w:r>
    </w:p>
    <w:p>
      <w:pPr>
        <w:pStyle w:val="2"/>
        <w:spacing w:before="50" w:line="315" w:lineRule="auto"/>
        <w:ind w:left="33" w:firstLine="609"/>
        <w:rPr>
          <w:sz w:val="30"/>
          <w:szCs w:val="30"/>
        </w:rPr>
      </w:pPr>
      <w:r>
        <w:rPr>
          <w:spacing w:val="-5"/>
          <w:sz w:val="30"/>
          <w:szCs w:val="30"/>
        </w:rPr>
        <w:t>落实监督管理制度。严格实施问责制度，对损害资源、生态</w:t>
      </w:r>
      <w:r>
        <w:rPr>
          <w:spacing w:val="3"/>
          <w:sz w:val="30"/>
          <w:szCs w:val="30"/>
        </w:rPr>
        <w:t xml:space="preserve">  </w:t>
      </w:r>
      <w:r>
        <w:rPr>
          <w:spacing w:val="-8"/>
          <w:sz w:val="30"/>
          <w:szCs w:val="30"/>
        </w:rPr>
        <w:t>和环境的领导干部，要真追责、敢追责、严追责，做到终身追责。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动员社会各界和全体市民，强化社会监督机制，健全群众监</w:t>
      </w:r>
      <w:r>
        <w:rPr>
          <w:spacing w:val="-5"/>
          <w:sz w:val="30"/>
          <w:szCs w:val="30"/>
        </w:rPr>
        <w:t>督举</w:t>
      </w:r>
      <w:r>
        <w:rPr>
          <w:sz w:val="30"/>
          <w:szCs w:val="30"/>
        </w:rPr>
        <w:t xml:space="preserve">  </w:t>
      </w:r>
      <w:r>
        <w:rPr>
          <w:spacing w:val="-6"/>
          <w:sz w:val="30"/>
          <w:szCs w:val="30"/>
        </w:rPr>
        <w:t>报制度。要明确社会各阶层在生态文明创建过程中的</w:t>
      </w:r>
      <w:r>
        <w:rPr>
          <w:spacing w:val="-7"/>
          <w:sz w:val="30"/>
          <w:szCs w:val="30"/>
        </w:rPr>
        <w:t>职责和任务。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充分发挥新闻媒介的舆论监督作用，在新闻媒介上，对生态</w:t>
      </w:r>
      <w:r>
        <w:rPr>
          <w:spacing w:val="-5"/>
          <w:sz w:val="30"/>
          <w:szCs w:val="30"/>
        </w:rPr>
        <w:t>保护</w:t>
      </w:r>
      <w:r>
        <w:rPr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与建设的先进事例进行报道和表扬，对有悖于生态保护与建</w:t>
      </w:r>
      <w:r>
        <w:rPr>
          <w:spacing w:val="-5"/>
          <w:sz w:val="30"/>
          <w:szCs w:val="30"/>
        </w:rPr>
        <w:t>设要</w:t>
      </w:r>
      <w:r>
        <w:rPr>
          <w:sz w:val="30"/>
          <w:szCs w:val="30"/>
        </w:rPr>
        <w:t xml:space="preserve">  </w:t>
      </w:r>
      <w:bookmarkStart w:id="94" w:name="bookmark84"/>
      <w:bookmarkEnd w:id="94"/>
      <w:r>
        <w:rPr>
          <w:spacing w:val="-3"/>
          <w:sz w:val="30"/>
          <w:szCs w:val="30"/>
        </w:rPr>
        <w:t>求的事情公开曝光。</w:t>
      </w:r>
    </w:p>
    <w:p>
      <w:pPr>
        <w:spacing w:before="49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6"/>
          <w:sz w:val="30"/>
          <w:szCs w:val="30"/>
        </w:rPr>
        <w:t>（三）政策保障</w:t>
      </w:r>
    </w:p>
    <w:p>
      <w:pPr>
        <w:pStyle w:val="2"/>
        <w:spacing w:before="161" w:line="305" w:lineRule="auto"/>
        <w:ind w:left="42" w:right="236" w:firstLine="581"/>
        <w:rPr>
          <w:sz w:val="30"/>
          <w:szCs w:val="30"/>
        </w:rPr>
      </w:pPr>
      <w:r>
        <w:rPr>
          <w:spacing w:val="-4"/>
          <w:sz w:val="30"/>
          <w:szCs w:val="30"/>
        </w:rPr>
        <w:t>建立健全财税、金融、产业等政策，形成促进绿色发</w:t>
      </w:r>
      <w:r>
        <w:rPr>
          <w:spacing w:val="-5"/>
          <w:sz w:val="30"/>
          <w:szCs w:val="30"/>
        </w:rPr>
        <w:t>展的利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益导向机制和资源开发利益共享机制。</w:t>
      </w:r>
    </w:p>
    <w:p>
      <w:pPr>
        <w:pStyle w:val="2"/>
        <w:spacing w:before="47" w:line="312" w:lineRule="auto"/>
        <w:ind w:left="25" w:right="234" w:firstLine="616"/>
        <w:rPr>
          <w:sz w:val="30"/>
          <w:szCs w:val="30"/>
        </w:rPr>
      </w:pPr>
      <w:r>
        <w:rPr>
          <w:spacing w:val="-5"/>
          <w:sz w:val="30"/>
          <w:szCs w:val="30"/>
        </w:rPr>
        <w:t>完善财税政策。对资源节约和循环利用、新能源和可再生能</w:t>
      </w:r>
      <w:r>
        <w:rPr>
          <w:spacing w:val="7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源开发利用、环境基础设施建设、生态修复与建设、绿色科技创</w:t>
      </w:r>
      <w:r>
        <w:rPr>
          <w:spacing w:val="5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新等给予支持，将高耗能、高污染产品纳入消费税征收范围，推</w:t>
      </w:r>
      <w:r>
        <w:rPr>
          <w:spacing w:val="5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进资源和环境保护税费改革。</w:t>
      </w:r>
    </w:p>
    <w:p>
      <w:pPr>
        <w:pStyle w:val="2"/>
        <w:spacing w:before="56" w:line="309" w:lineRule="auto"/>
        <w:ind w:left="25" w:right="7" w:firstLine="600"/>
        <w:jc w:val="both"/>
        <w:rPr>
          <w:sz w:val="30"/>
          <w:szCs w:val="30"/>
        </w:rPr>
      </w:pPr>
      <w:r>
        <w:rPr>
          <w:spacing w:val="-7"/>
          <w:sz w:val="30"/>
          <w:szCs w:val="30"/>
        </w:rPr>
        <w:t>探索构建绿色金融体系。制定实施促进绿色发展的产业政策，</w:t>
      </w:r>
      <w:r>
        <w:rPr>
          <w:spacing w:val="9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推行产业准入负面清单管理。深化绿色金融，支持绿色信贷、绿</w:t>
      </w:r>
      <w:r>
        <w:rPr>
          <w:spacing w:val="2"/>
          <w:sz w:val="30"/>
          <w:szCs w:val="30"/>
        </w:rPr>
        <w:t xml:space="preserve">  </w:t>
      </w:r>
      <w:r>
        <w:rPr>
          <w:spacing w:val="-9"/>
          <w:sz w:val="30"/>
          <w:szCs w:val="30"/>
        </w:rPr>
        <w:t>色债券，健全绿色担保机制，推进生态环保领域政策性保险试点。</w:t>
      </w:r>
    </w:p>
    <w:p>
      <w:pPr>
        <w:spacing w:before="50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bookmarkStart w:id="95" w:name="bookmark86"/>
      <w:bookmarkEnd w:id="95"/>
      <w:r>
        <w:rPr>
          <w:rFonts w:ascii="黑体" w:hAnsi="黑体" w:eastAsia="黑体" w:cs="黑体"/>
          <w:spacing w:val="-6"/>
          <w:sz w:val="30"/>
          <w:szCs w:val="30"/>
        </w:rPr>
        <w:t>（四）资金保障</w:t>
      </w:r>
    </w:p>
    <w:p>
      <w:pPr>
        <w:spacing w:line="222" w:lineRule="auto"/>
        <w:rPr>
          <w:rFonts w:ascii="黑体" w:hAnsi="黑体" w:eastAsia="黑体" w:cs="黑体"/>
          <w:sz w:val="30"/>
          <w:szCs w:val="30"/>
        </w:rPr>
        <w:sectPr>
          <w:headerReference r:id="rId117" w:type="default"/>
          <w:footerReference r:id="rId118" w:type="default"/>
          <w:pgSz w:w="11906" w:h="16839"/>
          <w:pgMar w:top="1191" w:right="1565" w:bottom="1152" w:left="1785" w:header="882" w:footer="987" w:gutter="0"/>
          <w:cols w:space="720" w:num="1"/>
        </w:sectPr>
      </w:pPr>
    </w:p>
    <w:p>
      <w:pPr>
        <w:spacing w:line="309" w:lineRule="auto"/>
        <w:rPr>
          <w:rFonts w:ascii="Arial"/>
          <w:sz w:val="21"/>
        </w:rPr>
      </w:pPr>
    </w:p>
    <w:p>
      <w:pPr>
        <w:pStyle w:val="2"/>
        <w:spacing w:before="98" w:line="312" w:lineRule="auto"/>
        <w:ind w:left="24" w:right="226" w:firstLine="598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建立健全“政府引导、企业为主、社会参与”的多元化筹资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投入机制，加大生态文明建设资金投入。建立有效的资金监管制</w:t>
      </w:r>
      <w:r>
        <w:rPr>
          <w:spacing w:val="6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度，加强资金审计和监管力度，开展资金使用绩效评价，切实提</w:t>
      </w:r>
      <w:r>
        <w:rPr>
          <w:spacing w:val="6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高资金使用效率，确保生态文明建设各项任务落地见效。</w:t>
      </w:r>
    </w:p>
    <w:p>
      <w:pPr>
        <w:pStyle w:val="2"/>
        <w:spacing w:before="51" w:line="312" w:lineRule="auto"/>
        <w:ind w:left="28" w:firstLine="598"/>
        <w:jc w:val="both"/>
        <w:rPr>
          <w:sz w:val="30"/>
          <w:szCs w:val="30"/>
        </w:rPr>
      </w:pPr>
      <w:r>
        <w:rPr>
          <w:spacing w:val="-7"/>
          <w:sz w:val="30"/>
          <w:szCs w:val="30"/>
        </w:rPr>
        <w:t>确保政府财政投入。将生态文明建设纳入财政预算统一管理，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积极争取国家和内蒙古自治区各类专项资金，如中央和内蒙古自</w:t>
      </w:r>
      <w:r>
        <w:rPr>
          <w:spacing w:val="1"/>
          <w:sz w:val="30"/>
          <w:szCs w:val="30"/>
        </w:rPr>
        <w:t xml:space="preserve">  </w:t>
      </w:r>
      <w:r>
        <w:rPr>
          <w:spacing w:val="-4"/>
          <w:sz w:val="30"/>
          <w:szCs w:val="30"/>
        </w:rPr>
        <w:t>治区水污染防治资金、生态补偿资金、自然保护区建设专项资金</w:t>
      </w:r>
      <w:r>
        <w:rPr>
          <w:spacing w:val="1"/>
          <w:sz w:val="30"/>
          <w:szCs w:val="30"/>
        </w:rPr>
        <w:t xml:space="preserve">  </w:t>
      </w:r>
      <w:r>
        <w:rPr>
          <w:spacing w:val="-1"/>
          <w:sz w:val="30"/>
          <w:szCs w:val="30"/>
        </w:rPr>
        <w:t>等常年专项资金，争取转移支付、生态补偿试点。</w:t>
      </w:r>
    </w:p>
    <w:p>
      <w:pPr>
        <w:pStyle w:val="2"/>
        <w:spacing w:before="55" w:line="314" w:lineRule="auto"/>
        <w:ind w:left="28" w:right="226" w:firstLine="597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加大企业污染治理投入。严格按照“谁污染、谁治理</w:t>
      </w:r>
      <w:r>
        <w:rPr>
          <w:spacing w:val="-5"/>
          <w:sz w:val="30"/>
          <w:szCs w:val="30"/>
        </w:rPr>
        <w:t>、谁破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坏、谁恢复”的原则，督促涉污企业加大污染治理和生态修复资</w:t>
      </w:r>
      <w:r>
        <w:rPr>
          <w:spacing w:val="3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金投入。政府通过信用担保和贴息补助，积极支持环保企业借助</w:t>
      </w:r>
      <w:r>
        <w:rPr>
          <w:spacing w:val="3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金融股票市场、</w:t>
      </w:r>
      <w:r>
        <w:rPr>
          <w:rFonts w:ascii="Times New Roman" w:hAnsi="Times New Roman" w:eastAsia="Times New Roman" w:cs="Times New Roman"/>
          <w:sz w:val="30"/>
          <w:szCs w:val="30"/>
        </w:rPr>
        <w:t>EOD</w:t>
      </w:r>
      <w:r>
        <w:rPr>
          <w:rFonts w:ascii="Times New Roman" w:hAnsi="Times New Roman" w:eastAsia="Times New Roman" w:cs="Times New Roman"/>
          <w:spacing w:val="-31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、</w:t>
      </w:r>
      <w:r>
        <w:rPr>
          <w:rFonts w:ascii="Times New Roman" w:hAnsi="Times New Roman" w:eastAsia="Times New Roman" w:cs="Times New Roman"/>
          <w:sz w:val="30"/>
          <w:szCs w:val="30"/>
        </w:rPr>
        <w:t>BOT</w:t>
      </w:r>
      <w:r>
        <w:rPr>
          <w:rFonts w:ascii="Times New Roman" w:hAnsi="Times New Roman" w:eastAsia="Times New Roman" w:cs="Times New Roman"/>
          <w:spacing w:val="32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等方式开展融资，解决企业污染治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理和生态修复资金瓶颈问题。鼓励生态环保企业以林权证、草地</w:t>
      </w:r>
      <w:r>
        <w:rPr>
          <w:spacing w:val="3"/>
          <w:sz w:val="30"/>
          <w:szCs w:val="30"/>
        </w:rPr>
        <w:t xml:space="preserve"> </w:t>
      </w:r>
      <w:r>
        <w:rPr>
          <w:spacing w:val="-3"/>
          <w:sz w:val="30"/>
          <w:szCs w:val="30"/>
        </w:rPr>
        <w:t>证等抵押贷款。</w:t>
      </w:r>
    </w:p>
    <w:p>
      <w:pPr>
        <w:pStyle w:val="2"/>
        <w:spacing w:before="57" w:line="313" w:lineRule="auto"/>
        <w:ind w:left="23" w:right="226" w:firstLine="606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鼓励社会资本投入。积极申请世界银行、亚行</w:t>
      </w:r>
      <w:r>
        <w:rPr>
          <w:spacing w:val="-5"/>
          <w:sz w:val="30"/>
          <w:szCs w:val="30"/>
        </w:rPr>
        <w:t>和国内各级各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类银行贷款。大力推进生态保护和生态建设产业化、市场化，引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导和鼓励社会资本参与环境治理，投资污水、垃圾、污泥处理等</w:t>
      </w:r>
      <w:r>
        <w:rPr>
          <w:spacing w:val="8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环保基础设施建设和运行，支持第三方以湿地、森林和草地补偿</w:t>
      </w:r>
      <w:r>
        <w:rPr>
          <w:spacing w:val="8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银行的形式参与生态系统保护与修复。</w:t>
      </w:r>
    </w:p>
    <w:p>
      <w:pPr>
        <w:spacing w:before="53" w:line="222" w:lineRule="auto"/>
        <w:ind w:left="50"/>
        <w:outlineLvl w:val="2"/>
        <w:rPr>
          <w:rFonts w:ascii="黑体" w:hAnsi="黑体" w:eastAsia="黑体" w:cs="黑体"/>
          <w:sz w:val="30"/>
          <w:szCs w:val="30"/>
        </w:rPr>
      </w:pPr>
      <w:bookmarkStart w:id="96" w:name="bookmark88"/>
      <w:bookmarkEnd w:id="96"/>
      <w:r>
        <w:rPr>
          <w:rFonts w:ascii="黑体" w:hAnsi="黑体" w:eastAsia="黑体" w:cs="黑体"/>
          <w:spacing w:val="-6"/>
          <w:sz w:val="30"/>
          <w:szCs w:val="30"/>
        </w:rPr>
        <w:t>（五）社会保障</w:t>
      </w:r>
    </w:p>
    <w:p>
      <w:pPr>
        <w:pStyle w:val="2"/>
        <w:spacing w:before="162" w:line="312" w:lineRule="auto"/>
        <w:ind w:left="18" w:right="226" w:firstLine="606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加强舆论宣传。充分利用各种宣传工具和舆论阵地，</w:t>
      </w:r>
      <w:r>
        <w:rPr>
          <w:spacing w:val="-5"/>
          <w:sz w:val="30"/>
          <w:szCs w:val="30"/>
        </w:rPr>
        <w:t>大力宣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传国家生态文明建设示范市持续建设的重大意义，把生态文明理</w:t>
      </w:r>
      <w:r>
        <w:rPr>
          <w:spacing w:val="12"/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念渗透传导到社会各界，提高广大人民群众主动自觉参与生态文</w:t>
      </w:r>
      <w:r>
        <w:rPr>
          <w:spacing w:val="12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明建设的热情，形成全社会共同参与的良好氛围。</w:t>
      </w:r>
    </w:p>
    <w:p>
      <w:pPr>
        <w:pStyle w:val="2"/>
        <w:spacing w:before="49" w:line="305" w:lineRule="auto"/>
        <w:ind w:left="41" w:right="226" w:firstLine="588"/>
        <w:rPr>
          <w:sz w:val="30"/>
          <w:szCs w:val="30"/>
        </w:rPr>
      </w:pPr>
      <w:r>
        <w:rPr>
          <w:spacing w:val="-4"/>
          <w:sz w:val="30"/>
          <w:szCs w:val="30"/>
        </w:rPr>
        <w:t>鼓励公众参与。充分发挥各类媒体的舆论监督</w:t>
      </w:r>
      <w:r>
        <w:rPr>
          <w:spacing w:val="-5"/>
          <w:sz w:val="30"/>
          <w:szCs w:val="30"/>
        </w:rPr>
        <w:t>作用，增大生</w:t>
      </w:r>
      <w:r>
        <w:rPr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态文明建设相关信息的透明度。鼓励社会团体、媒体、研究机构</w:t>
      </w:r>
    </w:p>
    <w:p>
      <w:pPr>
        <w:spacing w:line="305" w:lineRule="auto"/>
        <w:rPr>
          <w:sz w:val="30"/>
          <w:szCs w:val="30"/>
        </w:rPr>
        <w:sectPr>
          <w:headerReference r:id="rId119" w:type="default"/>
          <w:footerReference r:id="rId120" w:type="default"/>
          <w:pgSz w:w="11906" w:h="16839"/>
          <w:pgMar w:top="1191" w:right="1572" w:bottom="1150" w:left="1785" w:header="882" w:footer="987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311" w:lineRule="auto"/>
        <w:ind w:left="35" w:right="13" w:hanging="2"/>
        <w:jc w:val="both"/>
        <w:rPr>
          <w:sz w:val="30"/>
          <w:szCs w:val="30"/>
        </w:rPr>
      </w:pPr>
      <w:r>
        <w:rPr>
          <w:spacing w:val="-4"/>
          <w:sz w:val="30"/>
          <w:szCs w:val="30"/>
        </w:rPr>
        <w:t>和公众积极参与生态文明建设决策、管理与监督。对可能产</w:t>
      </w:r>
      <w:r>
        <w:rPr>
          <w:spacing w:val="-5"/>
          <w:sz w:val="30"/>
          <w:szCs w:val="30"/>
        </w:rPr>
        <w:t>生重</w:t>
      </w:r>
      <w:r>
        <w:rPr>
          <w:sz w:val="30"/>
          <w:szCs w:val="30"/>
        </w:rPr>
        <w:t xml:space="preserve"> </w:t>
      </w:r>
      <w:r>
        <w:rPr>
          <w:spacing w:val="-4"/>
          <w:sz w:val="30"/>
          <w:szCs w:val="30"/>
        </w:rPr>
        <w:t>大生态环境影响的各类建设活动，广泛征求公众意见，</w:t>
      </w:r>
      <w:r>
        <w:rPr>
          <w:spacing w:val="-5"/>
          <w:sz w:val="30"/>
          <w:szCs w:val="30"/>
        </w:rPr>
        <w:t>接受公众</w:t>
      </w:r>
      <w:r>
        <w:rPr>
          <w:sz w:val="30"/>
          <w:szCs w:val="30"/>
        </w:rPr>
        <w:t xml:space="preserve"> </w:t>
      </w:r>
      <w:r>
        <w:rPr>
          <w:spacing w:val="-8"/>
          <w:sz w:val="30"/>
          <w:szCs w:val="30"/>
        </w:rPr>
        <w:t>监督。</w:t>
      </w:r>
    </w:p>
    <w:p>
      <w:pPr>
        <w:spacing w:line="311" w:lineRule="auto"/>
        <w:rPr>
          <w:sz w:val="30"/>
          <w:szCs w:val="30"/>
        </w:rPr>
        <w:sectPr>
          <w:headerReference r:id="rId121" w:type="default"/>
          <w:footerReference r:id="rId122" w:type="default"/>
          <w:pgSz w:w="11906" w:h="16839"/>
          <w:pgMar w:top="1191" w:right="1785" w:bottom="1152" w:left="1785" w:header="882" w:footer="987" w:gutter="0"/>
          <w:cols w:space="720" w:num="1"/>
        </w:sect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before="101" w:line="227" w:lineRule="auto"/>
        <w:ind w:left="44"/>
        <w:outlineLvl w:val="1"/>
        <w:rPr>
          <w:rFonts w:ascii="黑体" w:hAnsi="黑体" w:eastAsia="黑体" w:cs="黑体"/>
          <w:sz w:val="31"/>
          <w:szCs w:val="31"/>
        </w:rPr>
      </w:pPr>
      <w:bookmarkStart w:id="97" w:name="bookmark90"/>
      <w:bookmarkEnd w:id="97"/>
      <w:r>
        <w:rPr>
          <w:rFonts w:ascii="黑体" w:hAnsi="黑体" w:eastAsia="黑体" w:cs="黑体"/>
          <w:b/>
          <w:bCs/>
          <w:spacing w:val="5"/>
          <w:sz w:val="31"/>
          <w:szCs w:val="31"/>
        </w:rPr>
        <w:t>附录：重点工程项目清单</w:t>
      </w:r>
    </w:p>
    <w:p>
      <w:pPr>
        <w:spacing w:line="88" w:lineRule="exact"/>
      </w:pPr>
    </w:p>
    <w:tbl>
      <w:tblPr>
        <w:tblStyle w:val="5"/>
        <w:tblW w:w="1456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5"/>
        <w:gridCol w:w="868"/>
        <w:gridCol w:w="2346"/>
        <w:gridCol w:w="5510"/>
        <w:gridCol w:w="1661"/>
        <w:gridCol w:w="1906"/>
        <w:gridCol w:w="127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995" w:type="dxa"/>
            <w:vAlign w:val="top"/>
          </w:tcPr>
          <w:p>
            <w:pPr>
              <w:pStyle w:val="6"/>
              <w:spacing w:before="209" w:line="228" w:lineRule="auto"/>
              <w:ind w:left="291"/>
              <w:rPr>
                <w:sz w:val="20"/>
                <w:szCs w:val="20"/>
              </w:rPr>
            </w:pPr>
            <w:r>
              <w:rPr>
                <w:b/>
                <w:bCs/>
                <w:spacing w:val="3"/>
                <w:sz w:val="20"/>
                <w:szCs w:val="20"/>
              </w:rPr>
              <w:t>类别</w:t>
            </w:r>
          </w:p>
        </w:tc>
        <w:tc>
          <w:tcPr>
            <w:tcW w:w="868" w:type="dxa"/>
            <w:vAlign w:val="top"/>
          </w:tcPr>
          <w:p>
            <w:pPr>
              <w:pStyle w:val="6"/>
              <w:spacing w:before="210" w:line="229" w:lineRule="auto"/>
              <w:ind w:left="224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sz w:val="20"/>
                <w:szCs w:val="20"/>
              </w:rPr>
              <w:t>序号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210" w:line="228" w:lineRule="auto"/>
              <w:ind w:left="756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工程名称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209" w:line="228" w:lineRule="auto"/>
              <w:ind w:left="233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建设内容</w:t>
            </w:r>
          </w:p>
        </w:tc>
        <w:tc>
          <w:tcPr>
            <w:tcW w:w="1661" w:type="dxa"/>
            <w:vAlign w:val="top"/>
          </w:tcPr>
          <w:p>
            <w:pPr>
              <w:pStyle w:val="6"/>
              <w:spacing w:before="210" w:line="228" w:lineRule="auto"/>
              <w:ind w:left="41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实施期限</w:t>
            </w:r>
          </w:p>
        </w:tc>
        <w:tc>
          <w:tcPr>
            <w:tcW w:w="1906" w:type="dxa"/>
            <w:vAlign w:val="top"/>
          </w:tcPr>
          <w:p>
            <w:pPr>
              <w:pStyle w:val="6"/>
              <w:spacing w:before="210" w:line="223" w:lineRule="auto"/>
              <w:ind w:left="18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投资概算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5"/>
                <w:sz w:val="20"/>
                <w:szCs w:val="20"/>
              </w:rPr>
              <w:t>(</w:t>
            </w:r>
            <w:r>
              <w:rPr>
                <w:b/>
                <w:bCs/>
                <w:spacing w:val="5"/>
                <w:sz w:val="20"/>
                <w:szCs w:val="20"/>
              </w:rPr>
              <w:t>万元）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09" w:line="228" w:lineRule="auto"/>
              <w:ind w:left="229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sz w:val="20"/>
                <w:szCs w:val="20"/>
              </w:rPr>
              <w:t>责任部门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995" w:type="dxa"/>
            <w:vMerge w:val="restart"/>
            <w:tcBorders>
              <w:bottom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73" w:lineRule="auto"/>
              <w:ind w:left="396" w:right="180" w:hanging="168"/>
              <w:rPr>
                <w:sz w:val="20"/>
                <w:szCs w:val="20"/>
              </w:rPr>
            </w:pPr>
            <w:r>
              <w:rPr>
                <w:spacing w:val="-7"/>
                <w:sz w:val="20"/>
                <w:szCs w:val="20"/>
              </w:rPr>
              <w:t>目标责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任</w:t>
            </w:r>
          </w:p>
        </w:tc>
        <w:tc>
          <w:tcPr>
            <w:tcW w:w="868" w:type="dxa"/>
            <w:vAlign w:val="top"/>
          </w:tcPr>
          <w:p>
            <w:pPr>
              <w:spacing w:line="341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40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206" w:line="274" w:lineRule="auto"/>
              <w:ind w:left="654" w:right="126" w:hanging="524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高质量发展考核评价体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系建立工程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2" w:line="270" w:lineRule="auto"/>
              <w:ind w:left="111" w:right="106" w:firstLine="3"/>
              <w:jc w:val="both"/>
              <w:rPr>
                <w:sz w:val="20"/>
                <w:szCs w:val="20"/>
              </w:rPr>
            </w:pPr>
            <w:r>
              <w:rPr>
                <w:spacing w:val="11"/>
                <w:sz w:val="20"/>
                <w:szCs w:val="20"/>
              </w:rPr>
              <w:t>建立以生态环境改善、产业结构优化、基础设施完善等基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础性、长期性工作为考核目标，</w:t>
            </w:r>
            <w:r>
              <w:rPr>
                <w:spacing w:val="-59"/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以生态优先、</w:t>
            </w:r>
            <w:r>
              <w:rPr>
                <w:spacing w:val="9"/>
                <w:sz w:val="20"/>
                <w:szCs w:val="20"/>
              </w:rPr>
              <w:t>绿色低碳循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环发展为导向的高质量发展考核评价体系，并组织实施。</w:t>
            </w:r>
          </w:p>
        </w:tc>
        <w:tc>
          <w:tcPr>
            <w:tcW w:w="1661" w:type="dxa"/>
            <w:vAlign w:val="top"/>
          </w:tcPr>
          <w:p>
            <w:pPr>
              <w:spacing w:line="341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2023-2030</w:t>
            </w:r>
          </w:p>
        </w:tc>
        <w:tc>
          <w:tcPr>
            <w:tcW w:w="1906" w:type="dxa"/>
            <w:vAlign w:val="top"/>
          </w:tcPr>
          <w:p>
            <w:pPr>
              <w:spacing w:line="341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67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500.00</w:t>
            </w:r>
          </w:p>
        </w:tc>
        <w:tc>
          <w:tcPr>
            <w:tcW w:w="1275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7" w:lineRule="auto"/>
              <w:ind w:left="12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市委市政府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4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395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37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259" w:line="274" w:lineRule="auto"/>
              <w:ind w:left="546" w:right="126" w:hanging="419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生态环境损害责任追究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制度建立工程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104" w:line="278" w:lineRule="auto"/>
              <w:ind w:left="112" w:right="106"/>
              <w:jc w:val="both"/>
              <w:rPr>
                <w:sz w:val="20"/>
                <w:szCs w:val="20"/>
              </w:rPr>
            </w:pPr>
            <w:r>
              <w:rPr>
                <w:spacing w:val="11"/>
                <w:sz w:val="20"/>
                <w:szCs w:val="20"/>
              </w:rPr>
              <w:t>制定适合根河市生态文明建设的党政绩效考核办法，将河</w:t>
            </w:r>
            <w:r>
              <w:rPr>
                <w:spacing w:val="9"/>
                <w:sz w:val="20"/>
                <w:szCs w:val="20"/>
              </w:rPr>
              <w:t xml:space="preserve"> </w:t>
            </w:r>
            <w:r>
              <w:rPr>
                <w:spacing w:val="11"/>
                <w:sz w:val="20"/>
                <w:szCs w:val="20"/>
              </w:rPr>
              <w:t>长责任考核列入政绩考核，逐步建立全市河流水质、河长</w:t>
            </w:r>
            <w:r>
              <w:rPr>
                <w:spacing w:val="9"/>
                <w:sz w:val="20"/>
                <w:szCs w:val="20"/>
              </w:rPr>
              <w:t xml:space="preserve"> 履职等信息的公开机制，并在根河市加以组织实施。</w:t>
            </w:r>
          </w:p>
        </w:tc>
        <w:tc>
          <w:tcPr>
            <w:tcW w:w="1661" w:type="dxa"/>
            <w:vAlign w:val="top"/>
          </w:tcPr>
          <w:p>
            <w:pPr>
              <w:spacing w:line="395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2023-2030</w:t>
            </w:r>
          </w:p>
        </w:tc>
        <w:tc>
          <w:tcPr>
            <w:tcW w:w="1906" w:type="dxa"/>
            <w:vAlign w:val="top"/>
          </w:tcPr>
          <w:p>
            <w:pPr>
              <w:spacing w:line="395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66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>200.00</w:t>
            </w:r>
          </w:p>
        </w:tc>
        <w:tc>
          <w:tcPr>
            <w:tcW w:w="1275" w:type="dxa"/>
            <w:vAlign w:val="top"/>
          </w:tcPr>
          <w:p>
            <w:pPr>
              <w:spacing w:line="34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7" w:lineRule="auto"/>
              <w:ind w:left="12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市委市政府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99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84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2346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73" w:lineRule="auto"/>
              <w:ind w:left="128" w:right="126" w:hanging="3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领导干部自然资源资产 离任审计制度建立工程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4" w:line="274" w:lineRule="auto"/>
              <w:ind w:left="111" w:right="106" w:firstLine="2"/>
              <w:jc w:val="both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按照《关于贯彻落实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>&lt;</w:t>
            </w:r>
            <w:r>
              <w:rPr>
                <w:spacing w:val="6"/>
                <w:sz w:val="20"/>
                <w:szCs w:val="20"/>
              </w:rPr>
              <w:t>关于建立健全领导干部自然资源资产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离任审计评价指标体系的意见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>&gt;</w:t>
            </w:r>
            <w:r>
              <w:rPr>
                <w:rFonts w:ascii="Times New Roman" w:hAnsi="Times New Roman" w:eastAsia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的通知》要求，结合根河市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11"/>
                <w:sz w:val="20"/>
                <w:szCs w:val="20"/>
              </w:rPr>
              <w:t xml:space="preserve">域自然资源资产禀赋特点，设置个性化二级指标，建立根 </w:t>
            </w:r>
            <w:r>
              <w:rPr>
                <w:spacing w:val="9"/>
                <w:sz w:val="20"/>
                <w:szCs w:val="20"/>
              </w:rPr>
              <w:t>河市领导干部自然资源资产离任审计制度，并组织实施。</w:t>
            </w:r>
          </w:p>
        </w:tc>
        <w:tc>
          <w:tcPr>
            <w:tcW w:w="1661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2023-2030</w:t>
            </w:r>
          </w:p>
        </w:tc>
        <w:tc>
          <w:tcPr>
            <w:tcW w:w="1906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66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>200.00</w:t>
            </w:r>
          </w:p>
        </w:tc>
        <w:tc>
          <w:tcPr>
            <w:tcW w:w="1275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7" w:lineRule="auto"/>
              <w:ind w:left="12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市委市政府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995" w:type="dxa"/>
            <w:vMerge w:val="restart"/>
            <w:tcBorders>
              <w:bottom w:val="nil"/>
            </w:tcBorders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77" w:lineRule="auto"/>
              <w:ind w:left="397" w:right="180" w:hanging="207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生态安</w:t>
            </w:r>
            <w:r>
              <w:rPr>
                <w:sz w:val="20"/>
                <w:szCs w:val="20"/>
              </w:rPr>
              <w:t xml:space="preserve"> 全</w:t>
            </w:r>
          </w:p>
        </w:tc>
        <w:tc>
          <w:tcPr>
            <w:tcW w:w="868" w:type="dxa"/>
            <w:vAlign w:val="top"/>
          </w:tcPr>
          <w:p>
            <w:pPr>
              <w:spacing w:before="249" w:line="195" w:lineRule="auto"/>
              <w:ind w:left="378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4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55" w:line="260" w:lineRule="auto"/>
              <w:ind w:left="229" w:right="126" w:hanging="104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 xml:space="preserve">根河、激流等河流开展 </w:t>
            </w:r>
            <w:r>
              <w:rPr>
                <w:spacing w:val="9"/>
                <w:sz w:val="20"/>
                <w:szCs w:val="20"/>
              </w:rPr>
              <w:t>河美丽河湖创建工作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210" w:line="228" w:lineRule="auto"/>
              <w:ind w:left="111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在根河、激流河等重点河流开展美丽河湖创建工作</w:t>
            </w:r>
          </w:p>
        </w:tc>
        <w:tc>
          <w:tcPr>
            <w:tcW w:w="1661" w:type="dxa"/>
            <w:vAlign w:val="top"/>
          </w:tcPr>
          <w:p>
            <w:pPr>
              <w:spacing w:before="24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2023-2030</w:t>
            </w:r>
          </w:p>
        </w:tc>
        <w:tc>
          <w:tcPr>
            <w:tcW w:w="1906" w:type="dxa"/>
            <w:vAlign w:val="top"/>
          </w:tcPr>
          <w:p>
            <w:pPr>
              <w:spacing w:before="248" w:line="195" w:lineRule="auto"/>
              <w:ind w:left="676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800.00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5" w:line="260" w:lineRule="auto"/>
              <w:ind w:left="116" w:right="107" w:firstLine="1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生态环境局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根河市分局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before="58" w:line="192" w:lineRule="auto"/>
              <w:ind w:left="385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53" w:line="228" w:lineRule="auto"/>
              <w:ind w:left="150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内蒙古自治区呼伦贝尔</w:t>
            </w:r>
          </w:p>
          <w:p>
            <w:pPr>
              <w:pStyle w:val="6"/>
              <w:spacing w:before="65" w:line="228" w:lineRule="auto"/>
              <w:ind w:left="130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市根河市污水厂提质增</w:t>
            </w:r>
          </w:p>
          <w:p>
            <w:pPr>
              <w:pStyle w:val="6"/>
              <w:spacing w:before="65" w:line="228" w:lineRule="auto"/>
              <w:ind w:left="183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效修复日处理</w:t>
            </w:r>
            <w:r>
              <w:rPr>
                <w:spacing w:val="-3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>4300</w:t>
            </w:r>
            <w:r>
              <w:rPr>
                <w:rFonts w:ascii="Times New Roman" w:hAnsi="Times New Roman" w:eastAsia="Times New Roman" w:cs="Times New Roman"/>
                <w:spacing w:val="20"/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吨</w:t>
            </w:r>
          </w:p>
          <w:p>
            <w:pPr>
              <w:pStyle w:val="6"/>
              <w:spacing w:before="65" w:line="228" w:lineRule="auto"/>
              <w:ind w:left="763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改建工程</w:t>
            </w:r>
          </w:p>
        </w:tc>
        <w:tc>
          <w:tcPr>
            <w:tcW w:w="5510" w:type="dxa"/>
            <w:vAlign w:val="top"/>
          </w:tcPr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73" w:lineRule="auto"/>
              <w:ind w:left="128" w:right="466" w:hanging="17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对根河市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 xml:space="preserve">10 </w:t>
            </w:r>
            <w:r>
              <w:rPr>
                <w:spacing w:val="8"/>
                <w:sz w:val="20"/>
                <w:szCs w:val="20"/>
              </w:rPr>
              <w:t>条污水管网进行改造，改造污水</w:t>
            </w:r>
            <w:r>
              <w:rPr>
                <w:spacing w:val="7"/>
                <w:sz w:val="20"/>
                <w:szCs w:val="20"/>
              </w:rPr>
              <w:t>管网合计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10609 </w:t>
            </w:r>
            <w:r>
              <w:rPr>
                <w:spacing w:val="4"/>
                <w:sz w:val="20"/>
                <w:szCs w:val="20"/>
              </w:rPr>
              <w:t>米，检查井</w:t>
            </w:r>
            <w:r>
              <w:rPr>
                <w:spacing w:val="-3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263 </w:t>
            </w:r>
            <w:r>
              <w:rPr>
                <w:spacing w:val="4"/>
                <w:sz w:val="20"/>
                <w:szCs w:val="20"/>
              </w:rPr>
              <w:t>座</w:t>
            </w:r>
          </w:p>
        </w:tc>
        <w:tc>
          <w:tcPr>
            <w:tcW w:w="1661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2023-2025</w:t>
            </w:r>
          </w:p>
        </w:tc>
        <w:tc>
          <w:tcPr>
            <w:tcW w:w="1906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614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2680.00</w:t>
            </w:r>
          </w:p>
        </w:tc>
        <w:tc>
          <w:tcPr>
            <w:tcW w:w="1275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9" w:lineRule="auto"/>
              <w:ind w:left="327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住建局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before="249" w:line="195" w:lineRule="auto"/>
              <w:ind w:left="384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57" w:line="259" w:lineRule="auto"/>
              <w:ind w:left="551" w:right="126" w:hanging="426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 xml:space="preserve">满归贝尔茨河国家湿地 </w:t>
            </w:r>
            <w:r>
              <w:rPr>
                <w:spacing w:val="7"/>
                <w:sz w:val="20"/>
                <w:szCs w:val="20"/>
              </w:rPr>
              <w:t>公园建设项目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7" w:line="259" w:lineRule="auto"/>
              <w:ind w:left="112" w:right="35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湿地保育工程、恢复工程、科普宣教工程、科研监测工程、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合理利用工程、基础设施工程。</w:t>
            </w:r>
          </w:p>
        </w:tc>
        <w:tc>
          <w:tcPr>
            <w:tcW w:w="1661" w:type="dxa"/>
            <w:vAlign w:val="top"/>
          </w:tcPr>
          <w:p>
            <w:pPr>
              <w:spacing w:before="249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2023-2030</w:t>
            </w:r>
          </w:p>
        </w:tc>
        <w:tc>
          <w:tcPr>
            <w:tcW w:w="1906" w:type="dxa"/>
            <w:vAlign w:val="top"/>
          </w:tcPr>
          <w:p>
            <w:pPr>
              <w:spacing w:before="249" w:line="195" w:lineRule="auto"/>
              <w:ind w:left="61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4200.00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7" w:line="259" w:lineRule="auto"/>
              <w:ind w:left="544" w:right="112" w:hanging="428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满归森工公</w:t>
            </w:r>
            <w:r>
              <w:rPr>
                <w:sz w:val="20"/>
                <w:szCs w:val="20"/>
              </w:rPr>
              <w:t xml:space="preserve"> 司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99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spacing w:before="58" w:line="192" w:lineRule="auto"/>
              <w:ind w:left="38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56" w:line="228" w:lineRule="auto"/>
              <w:ind w:left="136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呼伦贝尔山金矿业有限</w:t>
            </w:r>
          </w:p>
          <w:p>
            <w:pPr>
              <w:pStyle w:val="6"/>
              <w:spacing w:before="65" w:line="228" w:lineRule="auto"/>
              <w:ind w:left="131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公司尾矿库治理及扩建</w:t>
            </w:r>
          </w:p>
          <w:p>
            <w:pPr>
              <w:pStyle w:val="6"/>
              <w:spacing w:before="65" w:line="228" w:lineRule="auto"/>
              <w:ind w:left="967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工程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5" w:line="270" w:lineRule="auto"/>
              <w:ind w:left="108" w:right="106" w:firstLine="7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老尾矿库与上游新尾矿库统一运行。设计库容量为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 xml:space="preserve">232 </w:t>
            </w:r>
            <w:r>
              <w:rPr>
                <w:spacing w:val="8"/>
                <w:sz w:val="20"/>
                <w:szCs w:val="20"/>
              </w:rPr>
              <w:t>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立方米，治理回采工程量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>19</w:t>
            </w:r>
            <w:r>
              <w:rPr>
                <w:rFonts w:ascii="Times New Roman" w:hAnsi="Times New Roman" w:eastAsia="Times New Roman" w:cs="Times New Roman"/>
                <w:spacing w:val="18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万立方米，可新增服务年限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9"/>
                <w:sz w:val="20"/>
                <w:szCs w:val="20"/>
              </w:rPr>
              <w:t xml:space="preserve">21 </w:t>
            </w:r>
            <w:r>
              <w:rPr>
                <w:spacing w:val="9"/>
                <w:sz w:val="20"/>
                <w:szCs w:val="20"/>
              </w:rPr>
              <w:t>年。铺设防渗膜铺设及防洪排水等设施建设，</w:t>
            </w:r>
            <w:r>
              <w:rPr>
                <w:spacing w:val="8"/>
                <w:sz w:val="20"/>
                <w:szCs w:val="20"/>
              </w:rPr>
              <w:t>新建值班</w:t>
            </w:r>
          </w:p>
        </w:tc>
        <w:tc>
          <w:tcPr>
            <w:tcW w:w="1661" w:type="dxa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2023-2027</w:t>
            </w:r>
          </w:p>
        </w:tc>
        <w:tc>
          <w:tcPr>
            <w:tcW w:w="1906" w:type="dxa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62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8076.00</w:t>
            </w:r>
          </w:p>
        </w:tc>
        <w:tc>
          <w:tcPr>
            <w:tcW w:w="1275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330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工信局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headerReference r:id="rId123" w:type="default"/>
          <w:footerReference r:id="rId124" w:type="default"/>
          <w:pgSz w:w="16839" w:h="11906"/>
          <w:pgMar w:top="1191" w:right="846" w:bottom="1152" w:left="1425" w:header="882" w:footer="987" w:gutter="0"/>
          <w:cols w:space="720" w:num="1"/>
        </w:sectPr>
      </w:pPr>
    </w:p>
    <w:p>
      <w:pPr>
        <w:spacing w:before="63"/>
      </w:pPr>
    </w:p>
    <w:p>
      <w:pPr>
        <w:spacing w:before="62"/>
      </w:pPr>
    </w:p>
    <w:tbl>
      <w:tblPr>
        <w:tblStyle w:val="5"/>
        <w:tblW w:w="1456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5"/>
        <w:gridCol w:w="868"/>
        <w:gridCol w:w="2346"/>
        <w:gridCol w:w="5510"/>
        <w:gridCol w:w="1661"/>
        <w:gridCol w:w="1906"/>
        <w:gridCol w:w="127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995" w:type="dxa"/>
            <w:vAlign w:val="top"/>
          </w:tcPr>
          <w:p>
            <w:pPr>
              <w:pStyle w:val="6"/>
              <w:spacing w:before="209" w:line="228" w:lineRule="auto"/>
              <w:ind w:left="291"/>
              <w:rPr>
                <w:sz w:val="20"/>
                <w:szCs w:val="20"/>
              </w:rPr>
            </w:pPr>
            <w:r>
              <w:rPr>
                <w:b/>
                <w:bCs/>
                <w:spacing w:val="3"/>
                <w:sz w:val="20"/>
                <w:szCs w:val="20"/>
              </w:rPr>
              <w:t>类别</w:t>
            </w:r>
          </w:p>
        </w:tc>
        <w:tc>
          <w:tcPr>
            <w:tcW w:w="868" w:type="dxa"/>
            <w:vAlign w:val="top"/>
          </w:tcPr>
          <w:p>
            <w:pPr>
              <w:pStyle w:val="6"/>
              <w:spacing w:before="210" w:line="229" w:lineRule="auto"/>
              <w:ind w:left="224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sz w:val="20"/>
                <w:szCs w:val="20"/>
              </w:rPr>
              <w:t>序号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210" w:line="228" w:lineRule="auto"/>
              <w:ind w:left="756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工程名称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209" w:line="228" w:lineRule="auto"/>
              <w:ind w:left="233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建设内容</w:t>
            </w:r>
          </w:p>
        </w:tc>
        <w:tc>
          <w:tcPr>
            <w:tcW w:w="1661" w:type="dxa"/>
            <w:vAlign w:val="top"/>
          </w:tcPr>
          <w:p>
            <w:pPr>
              <w:pStyle w:val="6"/>
              <w:spacing w:before="210" w:line="228" w:lineRule="auto"/>
              <w:ind w:left="41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实施期限</w:t>
            </w:r>
          </w:p>
        </w:tc>
        <w:tc>
          <w:tcPr>
            <w:tcW w:w="1906" w:type="dxa"/>
            <w:vAlign w:val="top"/>
          </w:tcPr>
          <w:p>
            <w:pPr>
              <w:pStyle w:val="6"/>
              <w:spacing w:before="210" w:line="223" w:lineRule="auto"/>
              <w:ind w:left="18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投资概算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5"/>
                <w:sz w:val="20"/>
                <w:szCs w:val="20"/>
              </w:rPr>
              <w:t>(</w:t>
            </w:r>
            <w:r>
              <w:rPr>
                <w:b/>
                <w:bCs/>
                <w:spacing w:val="5"/>
                <w:sz w:val="20"/>
                <w:szCs w:val="20"/>
              </w:rPr>
              <w:t>万元）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09" w:line="228" w:lineRule="auto"/>
              <w:ind w:left="229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sz w:val="20"/>
                <w:szCs w:val="20"/>
              </w:rPr>
              <w:t>责任部门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995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4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510" w:type="dxa"/>
            <w:vAlign w:val="top"/>
          </w:tcPr>
          <w:p>
            <w:pPr>
              <w:pStyle w:val="6"/>
              <w:spacing w:before="50" w:line="228" w:lineRule="auto"/>
              <w:ind w:left="115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室，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2 </w:t>
            </w:r>
            <w:r>
              <w:rPr>
                <w:spacing w:val="6"/>
                <w:sz w:val="20"/>
                <w:szCs w:val="20"/>
              </w:rPr>
              <w:t>个车间</w:t>
            </w:r>
          </w:p>
        </w:tc>
        <w:tc>
          <w:tcPr>
            <w:tcW w:w="166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88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52" w:line="228" w:lineRule="auto"/>
              <w:ind w:left="125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根河市综合应急救援中</w:t>
            </w:r>
          </w:p>
          <w:p>
            <w:pPr>
              <w:pStyle w:val="6"/>
              <w:spacing w:before="65" w:line="228" w:lineRule="auto"/>
              <w:ind w:left="132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心及应急指挥信息化平</w:t>
            </w:r>
          </w:p>
          <w:p>
            <w:pPr>
              <w:pStyle w:val="6"/>
              <w:spacing w:before="65" w:line="228" w:lineRule="auto"/>
              <w:ind w:left="667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台建设项目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209" w:line="273" w:lineRule="auto"/>
              <w:ind w:left="114" w:right="152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建设综合应急救援中心及应急智慧信息化平台，包括户外</w:t>
            </w:r>
            <w:r>
              <w:rPr>
                <w:spacing w:val="12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训练场地，面积</w:t>
            </w:r>
            <w:r>
              <w:rPr>
                <w:spacing w:val="-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3200 </w:t>
            </w:r>
            <w:r>
              <w:rPr>
                <w:spacing w:val="6"/>
                <w:sz w:val="20"/>
                <w:szCs w:val="20"/>
              </w:rPr>
              <w:t>平方米。</w:t>
            </w:r>
          </w:p>
        </w:tc>
        <w:tc>
          <w:tcPr>
            <w:tcW w:w="1661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2023-2030</w:t>
            </w:r>
          </w:p>
        </w:tc>
        <w:tc>
          <w:tcPr>
            <w:tcW w:w="1906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671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>700.00</w:t>
            </w:r>
          </w:p>
        </w:tc>
        <w:tc>
          <w:tcPr>
            <w:tcW w:w="1275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116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应急管理局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99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8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51" w:line="228" w:lineRule="auto"/>
              <w:ind w:left="125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根河市北部林区综合应</w:t>
            </w:r>
          </w:p>
          <w:p>
            <w:pPr>
              <w:pStyle w:val="6"/>
              <w:spacing w:before="64" w:line="228" w:lineRule="auto"/>
              <w:ind w:left="131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急救援物资储备库建设</w:t>
            </w:r>
          </w:p>
          <w:p>
            <w:pPr>
              <w:pStyle w:val="6"/>
              <w:spacing w:before="65" w:line="228" w:lineRule="auto"/>
              <w:ind w:left="968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项目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2" w:line="270" w:lineRule="auto"/>
              <w:ind w:left="111" w:right="152" w:firstLine="3"/>
              <w:jc w:val="both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建设北部林区综合应急救援物资储备库，储备物资包括民</w:t>
            </w:r>
            <w:r>
              <w:rPr>
                <w:spacing w:val="12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政救灾物资、森林草原防灭火物资、防汛抗旱物资、城镇</w:t>
            </w:r>
            <w:r>
              <w:rPr>
                <w:spacing w:val="15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消防救援物资等，储备库面积</w:t>
            </w:r>
            <w:r>
              <w:rPr>
                <w:spacing w:val="-2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2400 </w:t>
            </w:r>
            <w:r>
              <w:rPr>
                <w:spacing w:val="7"/>
                <w:sz w:val="20"/>
                <w:szCs w:val="20"/>
              </w:rPr>
              <w:t>平方米。</w:t>
            </w:r>
          </w:p>
        </w:tc>
        <w:tc>
          <w:tcPr>
            <w:tcW w:w="1661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2023-2030</w:t>
            </w:r>
          </w:p>
        </w:tc>
        <w:tc>
          <w:tcPr>
            <w:tcW w:w="1906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635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1200.00</w:t>
            </w:r>
          </w:p>
        </w:tc>
        <w:tc>
          <w:tcPr>
            <w:tcW w:w="1275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116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应急管理局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995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74" w:lineRule="auto"/>
              <w:ind w:left="397" w:right="180" w:hanging="207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生态经</w:t>
            </w:r>
            <w:r>
              <w:rPr>
                <w:sz w:val="20"/>
                <w:szCs w:val="20"/>
              </w:rPr>
              <w:t xml:space="preserve"> 济</w:t>
            </w:r>
          </w:p>
        </w:tc>
        <w:tc>
          <w:tcPr>
            <w:tcW w:w="868" w:type="dxa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4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0"/>
                <w:szCs w:val="20"/>
              </w:rPr>
              <w:t>10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208" w:line="274" w:lineRule="auto"/>
              <w:ind w:left="757" w:right="126" w:hanging="632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 xml:space="preserve">根河市建筑垃圾资源化 </w:t>
            </w:r>
            <w:r>
              <w:rPr>
                <w:spacing w:val="7"/>
                <w:sz w:val="20"/>
                <w:szCs w:val="20"/>
              </w:rPr>
              <w:t>利用项目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2" w:line="270" w:lineRule="auto"/>
              <w:ind w:left="114" w:right="81"/>
              <w:jc w:val="both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项目占地</w:t>
            </w:r>
            <w:r>
              <w:rPr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7000 </w:t>
            </w:r>
            <w:r>
              <w:rPr>
                <w:spacing w:val="5"/>
                <w:sz w:val="20"/>
                <w:szCs w:val="20"/>
              </w:rPr>
              <w:t>平方米，建筑面积</w:t>
            </w:r>
            <w:r>
              <w:rPr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1500 </w:t>
            </w:r>
            <w:r>
              <w:rPr>
                <w:spacing w:val="5"/>
                <w:sz w:val="20"/>
                <w:szCs w:val="20"/>
              </w:rPr>
              <w:t>平方米，新建</w:t>
            </w:r>
            <w:r>
              <w:rPr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1 </w:t>
            </w:r>
            <w:r>
              <w:rPr>
                <w:spacing w:val="5"/>
                <w:sz w:val="20"/>
                <w:szCs w:val="20"/>
              </w:rPr>
              <w:t>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综合办公楼，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1 </w:t>
            </w:r>
            <w:r>
              <w:rPr>
                <w:spacing w:val="7"/>
                <w:sz w:val="20"/>
                <w:szCs w:val="20"/>
              </w:rPr>
              <w:t>座新瓶库，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1 </w:t>
            </w:r>
            <w:r>
              <w:rPr>
                <w:spacing w:val="7"/>
                <w:sz w:val="20"/>
                <w:szCs w:val="20"/>
              </w:rPr>
              <w:t>座灌瓶间，配套环保、安全、</w:t>
            </w:r>
            <w:r>
              <w:rPr>
                <w:spacing w:val="12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公用工程等设施</w:t>
            </w:r>
          </w:p>
        </w:tc>
        <w:tc>
          <w:tcPr>
            <w:tcW w:w="1661" w:type="dxa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2024-2027</w:t>
            </w:r>
          </w:p>
        </w:tc>
        <w:tc>
          <w:tcPr>
            <w:tcW w:w="1906" w:type="dxa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635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1000.00</w:t>
            </w:r>
          </w:p>
        </w:tc>
        <w:tc>
          <w:tcPr>
            <w:tcW w:w="1275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9" w:lineRule="auto"/>
              <w:ind w:left="327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住建局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34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0"/>
                <w:szCs w:val="20"/>
              </w:rPr>
              <w:t>11</w:t>
            </w:r>
          </w:p>
        </w:tc>
        <w:tc>
          <w:tcPr>
            <w:tcW w:w="2346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74" w:lineRule="auto"/>
              <w:ind w:left="110" w:right="140" w:firstLine="1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数据中心与清洁供热一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体化项目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4" w:line="274" w:lineRule="auto"/>
              <w:ind w:left="111" w:right="152" w:firstLine="1"/>
              <w:jc w:val="both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利用天然气候环境为数据中心提供免费自然冷源，减少冷</w:t>
            </w:r>
            <w:r>
              <w:rPr>
                <w:spacing w:val="13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机开启时间，节省运行电费。同时数据中心产生的余热可</w:t>
            </w:r>
            <w:r>
              <w:rPr>
                <w:spacing w:val="15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通过热泵机组为周边供暖，替代热电厂供热规模，减少热</w:t>
            </w:r>
            <w:r>
              <w:rPr>
                <w:spacing w:val="15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电厂的碳排放</w:t>
            </w:r>
          </w:p>
        </w:tc>
        <w:tc>
          <w:tcPr>
            <w:tcW w:w="1661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2023-2030</w:t>
            </w:r>
          </w:p>
        </w:tc>
        <w:tc>
          <w:tcPr>
            <w:tcW w:w="1906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582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10000.00</w:t>
            </w:r>
          </w:p>
        </w:tc>
        <w:tc>
          <w:tcPr>
            <w:tcW w:w="1275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330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组织部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before="248" w:line="195" w:lineRule="auto"/>
              <w:ind w:left="34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0"/>
                <w:szCs w:val="20"/>
              </w:rPr>
              <w:t>12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55" w:line="260" w:lineRule="auto"/>
              <w:ind w:left="113" w:right="140" w:hanging="2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新增或更新新能源、清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洁能源公共汽车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5" w:line="260" w:lineRule="auto"/>
              <w:ind w:left="113" w:right="152" w:hanging="3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将根河市目前的公共汽车全部更新为新能源、清洁能源汽</w:t>
            </w:r>
            <w:r>
              <w:rPr>
                <w:spacing w:val="1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车</w:t>
            </w:r>
          </w:p>
        </w:tc>
        <w:tc>
          <w:tcPr>
            <w:tcW w:w="1661" w:type="dxa"/>
            <w:vAlign w:val="top"/>
          </w:tcPr>
          <w:p>
            <w:pPr>
              <w:spacing w:before="24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2023-2027</w:t>
            </w:r>
          </w:p>
        </w:tc>
        <w:tc>
          <w:tcPr>
            <w:tcW w:w="1906" w:type="dxa"/>
            <w:vAlign w:val="top"/>
          </w:tcPr>
          <w:p>
            <w:pPr>
              <w:spacing w:before="248" w:line="195" w:lineRule="auto"/>
              <w:ind w:left="6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>5000.00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2" w:line="229" w:lineRule="auto"/>
              <w:ind w:left="332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交通局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344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34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0"/>
                <w:szCs w:val="20"/>
              </w:rPr>
              <w:t>13</w:t>
            </w:r>
          </w:p>
        </w:tc>
        <w:tc>
          <w:tcPr>
            <w:tcW w:w="2346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7" w:lineRule="auto"/>
              <w:ind w:left="150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内蒙古冷极村建设项目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5" w:line="269" w:lineRule="auto"/>
              <w:ind w:left="113" w:right="152" w:hanging="1"/>
              <w:jc w:val="both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新建商超、游乐场、休闲区、宾馆、民宿及配套设施、</w:t>
            </w:r>
            <w:r>
              <w:rPr>
                <w:spacing w:val="-37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驾营地、湿地公园、</w:t>
            </w:r>
            <w:r>
              <w:rPr>
                <w:rFonts w:ascii="Times New Roman" w:hAnsi="Times New Roman" w:eastAsia="Times New Roman" w:cs="Times New Roman"/>
                <w:spacing w:val="9"/>
                <w:sz w:val="20"/>
                <w:szCs w:val="20"/>
              </w:rPr>
              <w:t>“</w:t>
            </w:r>
            <w:r>
              <w:rPr>
                <w:spacing w:val="9"/>
                <w:sz w:val="20"/>
                <w:szCs w:val="20"/>
              </w:rPr>
              <w:t>冷</w:t>
            </w:r>
            <w:r>
              <w:rPr>
                <w:rFonts w:ascii="Times New Roman" w:hAnsi="Times New Roman" w:eastAsia="Times New Roman" w:cs="Times New Roman"/>
                <w:spacing w:val="9"/>
                <w:sz w:val="20"/>
                <w:szCs w:val="20"/>
              </w:rPr>
              <w:t>”</w:t>
            </w:r>
            <w:r>
              <w:rPr>
                <w:spacing w:val="9"/>
                <w:sz w:val="20"/>
                <w:szCs w:val="20"/>
              </w:rPr>
              <w:t>字栈道、地标景观，维修改造冷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极宾馆及配套设施、民宿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6 </w:t>
            </w:r>
            <w:r>
              <w:rPr>
                <w:spacing w:val="7"/>
                <w:sz w:val="20"/>
                <w:szCs w:val="20"/>
              </w:rPr>
              <w:t>栋、办公用房</w:t>
            </w:r>
            <w:r>
              <w:rPr>
                <w:spacing w:val="-4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4 </w:t>
            </w:r>
            <w:r>
              <w:rPr>
                <w:spacing w:val="7"/>
                <w:sz w:val="20"/>
                <w:szCs w:val="20"/>
              </w:rPr>
              <w:t>栋等</w:t>
            </w:r>
          </w:p>
        </w:tc>
        <w:tc>
          <w:tcPr>
            <w:tcW w:w="1661" w:type="dxa"/>
            <w:vAlign w:val="top"/>
          </w:tcPr>
          <w:p>
            <w:pPr>
              <w:spacing w:line="344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2023-2025</w:t>
            </w:r>
          </w:p>
        </w:tc>
        <w:tc>
          <w:tcPr>
            <w:tcW w:w="1906" w:type="dxa"/>
            <w:vAlign w:val="top"/>
          </w:tcPr>
          <w:p>
            <w:pPr>
              <w:spacing w:line="344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582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13500.00</w:t>
            </w:r>
          </w:p>
        </w:tc>
        <w:tc>
          <w:tcPr>
            <w:tcW w:w="1275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9" w:lineRule="auto"/>
              <w:ind w:left="224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文旅广局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before="248" w:line="195" w:lineRule="auto"/>
              <w:ind w:left="34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0"/>
                <w:szCs w:val="20"/>
              </w:rPr>
              <w:t>14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55" w:line="260" w:lineRule="auto"/>
              <w:ind w:left="126" w:right="126" w:hanging="1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根河市汗马自然保护区 生态疗养基地建设项目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5" w:line="260" w:lineRule="auto"/>
              <w:ind w:left="112" w:right="152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依托自然保护区良好生态环境背景，建设生态疗养公寓及</w:t>
            </w:r>
            <w:r>
              <w:rPr>
                <w:spacing w:val="12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其他配套</w:t>
            </w:r>
          </w:p>
        </w:tc>
        <w:tc>
          <w:tcPr>
            <w:tcW w:w="1661" w:type="dxa"/>
            <w:vAlign w:val="top"/>
          </w:tcPr>
          <w:p>
            <w:pPr>
              <w:spacing w:before="24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2023-2025</w:t>
            </w:r>
          </w:p>
        </w:tc>
        <w:tc>
          <w:tcPr>
            <w:tcW w:w="1906" w:type="dxa"/>
            <w:vAlign w:val="top"/>
          </w:tcPr>
          <w:p>
            <w:pPr>
              <w:spacing w:before="248" w:line="195" w:lineRule="auto"/>
              <w:ind w:left="635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1800.00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2" w:line="227" w:lineRule="auto"/>
              <w:ind w:left="116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汗马保护区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344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4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0"/>
                <w:szCs w:val="20"/>
              </w:rPr>
              <w:t>15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55" w:line="270" w:lineRule="auto"/>
              <w:ind w:left="111" w:right="140" w:hanging="1"/>
              <w:jc w:val="both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根河市敖鲁古雅撮罗子 营地基础设施和配套服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务设施提档升级建设项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5" w:line="270" w:lineRule="auto"/>
              <w:ind w:left="112" w:right="35" w:firstLine="3"/>
              <w:jc w:val="both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项目总占地面积</w:t>
            </w:r>
            <w:r>
              <w:rPr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18021 </w:t>
            </w:r>
            <w:r>
              <w:rPr>
                <w:spacing w:val="7"/>
                <w:sz w:val="20"/>
                <w:szCs w:val="20"/>
              </w:rPr>
              <w:t>平方米。将原</w:t>
            </w:r>
            <w:r>
              <w:rPr>
                <w:spacing w:val="6"/>
                <w:sz w:val="20"/>
                <w:szCs w:val="20"/>
              </w:rPr>
              <w:t>有</w:t>
            </w:r>
            <w:r>
              <w:rPr>
                <w:spacing w:val="-4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210 </w:t>
            </w:r>
            <w:r>
              <w:rPr>
                <w:spacing w:val="6"/>
                <w:sz w:val="20"/>
                <w:szCs w:val="20"/>
              </w:rPr>
              <w:t>平方米游客服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pacing w:val="5"/>
                <w:sz w:val="20"/>
                <w:szCs w:val="20"/>
              </w:rPr>
              <w:t>务中心改建为钢木混合结构；改造原有木栈道</w:t>
            </w:r>
            <w:r>
              <w:rPr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569 </w:t>
            </w:r>
            <w:r>
              <w:rPr>
                <w:spacing w:val="5"/>
                <w:sz w:val="20"/>
                <w:szCs w:val="20"/>
              </w:rPr>
              <w:t>平方米、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栈道平台</w:t>
            </w:r>
            <w:r>
              <w:rPr>
                <w:spacing w:val="-3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693 </w:t>
            </w:r>
            <w:r>
              <w:rPr>
                <w:spacing w:val="5"/>
                <w:sz w:val="20"/>
                <w:szCs w:val="20"/>
              </w:rPr>
              <w:t>平方米、撮罗子栈道平台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>10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50 </w:t>
            </w:r>
            <w:r>
              <w:rPr>
                <w:spacing w:val="4"/>
                <w:sz w:val="20"/>
                <w:szCs w:val="20"/>
              </w:rPr>
              <w:t>平方米；原有</w:t>
            </w:r>
          </w:p>
        </w:tc>
        <w:tc>
          <w:tcPr>
            <w:tcW w:w="1661" w:type="dxa"/>
            <w:vAlign w:val="top"/>
          </w:tcPr>
          <w:p>
            <w:pPr>
              <w:spacing w:line="344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2024-2027</w:t>
            </w:r>
          </w:p>
        </w:tc>
        <w:tc>
          <w:tcPr>
            <w:tcW w:w="1906" w:type="dxa"/>
            <w:vAlign w:val="top"/>
          </w:tcPr>
          <w:p>
            <w:pPr>
              <w:spacing w:line="344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80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974</w:t>
            </w:r>
          </w:p>
        </w:tc>
        <w:tc>
          <w:tcPr>
            <w:tcW w:w="1275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331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发改委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25" w:type="default"/>
          <w:pgSz w:w="16839" w:h="11906"/>
          <w:pgMar w:top="1191" w:right="846" w:bottom="1152" w:left="1425" w:header="882" w:footer="987" w:gutter="0"/>
          <w:cols w:space="720" w:num="1"/>
        </w:sectPr>
      </w:pPr>
    </w:p>
    <w:p>
      <w:pPr>
        <w:spacing w:before="63"/>
      </w:pPr>
    </w:p>
    <w:p>
      <w:pPr>
        <w:spacing w:before="62"/>
      </w:pPr>
    </w:p>
    <w:tbl>
      <w:tblPr>
        <w:tblStyle w:val="5"/>
        <w:tblW w:w="1456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5"/>
        <w:gridCol w:w="868"/>
        <w:gridCol w:w="2346"/>
        <w:gridCol w:w="5510"/>
        <w:gridCol w:w="1661"/>
        <w:gridCol w:w="1906"/>
        <w:gridCol w:w="127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995" w:type="dxa"/>
            <w:vAlign w:val="top"/>
          </w:tcPr>
          <w:p>
            <w:pPr>
              <w:pStyle w:val="6"/>
              <w:spacing w:before="209" w:line="228" w:lineRule="auto"/>
              <w:ind w:left="291"/>
              <w:rPr>
                <w:sz w:val="20"/>
                <w:szCs w:val="20"/>
              </w:rPr>
            </w:pPr>
            <w:r>
              <w:rPr>
                <w:b/>
                <w:bCs/>
                <w:spacing w:val="3"/>
                <w:sz w:val="20"/>
                <w:szCs w:val="20"/>
              </w:rPr>
              <w:t>类别</w:t>
            </w:r>
          </w:p>
        </w:tc>
        <w:tc>
          <w:tcPr>
            <w:tcW w:w="868" w:type="dxa"/>
            <w:vAlign w:val="top"/>
          </w:tcPr>
          <w:p>
            <w:pPr>
              <w:pStyle w:val="6"/>
              <w:spacing w:before="210" w:line="229" w:lineRule="auto"/>
              <w:ind w:left="224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sz w:val="20"/>
                <w:szCs w:val="20"/>
              </w:rPr>
              <w:t>序号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210" w:line="228" w:lineRule="auto"/>
              <w:ind w:left="756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工程名称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209" w:line="228" w:lineRule="auto"/>
              <w:ind w:left="233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建设内容</w:t>
            </w:r>
          </w:p>
        </w:tc>
        <w:tc>
          <w:tcPr>
            <w:tcW w:w="1661" w:type="dxa"/>
            <w:vAlign w:val="top"/>
          </w:tcPr>
          <w:p>
            <w:pPr>
              <w:pStyle w:val="6"/>
              <w:spacing w:before="210" w:line="228" w:lineRule="auto"/>
              <w:ind w:left="41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实施期限</w:t>
            </w:r>
          </w:p>
        </w:tc>
        <w:tc>
          <w:tcPr>
            <w:tcW w:w="1906" w:type="dxa"/>
            <w:vAlign w:val="top"/>
          </w:tcPr>
          <w:p>
            <w:pPr>
              <w:pStyle w:val="6"/>
              <w:spacing w:before="210" w:line="223" w:lineRule="auto"/>
              <w:ind w:left="18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投资概算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5"/>
                <w:sz w:val="20"/>
                <w:szCs w:val="20"/>
              </w:rPr>
              <w:t>(</w:t>
            </w:r>
            <w:r>
              <w:rPr>
                <w:b/>
                <w:bCs/>
                <w:spacing w:val="5"/>
                <w:sz w:val="20"/>
                <w:szCs w:val="20"/>
              </w:rPr>
              <w:t>万元）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09" w:line="228" w:lineRule="auto"/>
              <w:ind w:left="229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sz w:val="20"/>
                <w:szCs w:val="20"/>
              </w:rPr>
              <w:t>责任部门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atLeast"/>
        </w:trPr>
        <w:tc>
          <w:tcPr>
            <w:tcW w:w="995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46" w:type="dxa"/>
            <w:vAlign w:val="top"/>
          </w:tcPr>
          <w:p>
            <w:pPr>
              <w:pStyle w:val="6"/>
              <w:spacing w:before="50" w:line="231" w:lineRule="auto"/>
              <w:ind w:left="1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0" w:line="273" w:lineRule="auto"/>
              <w:ind w:left="112" w:right="106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9"/>
                <w:sz w:val="20"/>
                <w:szCs w:val="20"/>
              </w:rPr>
              <w:t xml:space="preserve">612 </w:t>
            </w:r>
            <w:r>
              <w:rPr>
                <w:spacing w:val="9"/>
                <w:sz w:val="20"/>
                <w:szCs w:val="20"/>
              </w:rPr>
              <w:t>平方米停车场地面硬化后新增多功能</w:t>
            </w:r>
            <w:r>
              <w:rPr>
                <w:spacing w:val="8"/>
                <w:sz w:val="20"/>
                <w:szCs w:val="20"/>
              </w:rPr>
              <w:t>充电桩。新建玻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pacing w:val="6"/>
                <w:sz w:val="20"/>
                <w:szCs w:val="20"/>
              </w:rPr>
              <w:t>璃钢化粪池</w:t>
            </w:r>
            <w:r>
              <w:rPr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1 </w:t>
            </w:r>
            <w:r>
              <w:rPr>
                <w:spacing w:val="6"/>
                <w:sz w:val="20"/>
                <w:szCs w:val="20"/>
              </w:rPr>
              <w:t>座，供水管网</w:t>
            </w:r>
            <w:r>
              <w:rPr>
                <w:spacing w:val="-3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950 </w:t>
            </w:r>
            <w:r>
              <w:rPr>
                <w:spacing w:val="6"/>
                <w:sz w:val="20"/>
                <w:szCs w:val="20"/>
              </w:rPr>
              <w:t>米，污水管网</w:t>
            </w:r>
            <w:r>
              <w:rPr>
                <w:spacing w:val="-3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950 </w:t>
            </w:r>
            <w:r>
              <w:rPr>
                <w:spacing w:val="6"/>
                <w:sz w:val="20"/>
                <w:szCs w:val="20"/>
              </w:rPr>
              <w:t>米。新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建智慧旅游系统。大型宣传牌</w:t>
            </w:r>
            <w:r>
              <w:rPr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 xml:space="preserve">4 </w:t>
            </w:r>
            <w:r>
              <w:rPr>
                <w:spacing w:val="8"/>
                <w:sz w:val="20"/>
                <w:szCs w:val="20"/>
              </w:rPr>
              <w:t>个、导游全景图</w:t>
            </w:r>
            <w:r>
              <w:rPr>
                <w:spacing w:val="-4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 xml:space="preserve">2 </w:t>
            </w:r>
            <w:r>
              <w:rPr>
                <w:spacing w:val="8"/>
                <w:sz w:val="20"/>
                <w:szCs w:val="20"/>
              </w:rPr>
              <w:t>个、景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点解说性标识牌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10 </w:t>
            </w:r>
            <w:r>
              <w:rPr>
                <w:spacing w:val="5"/>
                <w:sz w:val="20"/>
                <w:szCs w:val="20"/>
              </w:rPr>
              <w:t>个、区域导游图</w:t>
            </w:r>
            <w:r>
              <w:rPr>
                <w:spacing w:val="-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5 </w:t>
            </w:r>
            <w:r>
              <w:rPr>
                <w:spacing w:val="5"/>
                <w:sz w:val="20"/>
                <w:szCs w:val="20"/>
              </w:rPr>
              <w:t>个、道路导向指示牌</w:t>
            </w:r>
          </w:p>
          <w:p>
            <w:pPr>
              <w:pStyle w:val="6"/>
              <w:spacing w:before="65" w:line="228" w:lineRule="auto"/>
              <w:ind w:left="108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20 </w:t>
            </w:r>
            <w:r>
              <w:rPr>
                <w:spacing w:val="7"/>
                <w:sz w:val="20"/>
                <w:szCs w:val="20"/>
              </w:rPr>
              <w:t>个、警示关怀牌</w:t>
            </w:r>
            <w:r>
              <w:rPr>
                <w:spacing w:val="-3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40 </w:t>
            </w:r>
            <w:r>
              <w:rPr>
                <w:spacing w:val="7"/>
                <w:sz w:val="20"/>
                <w:szCs w:val="20"/>
              </w:rPr>
              <w:t>个、服务设施标识牌</w:t>
            </w:r>
            <w:r>
              <w:rPr>
                <w:spacing w:val="-3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30 </w:t>
            </w:r>
            <w:r>
              <w:rPr>
                <w:spacing w:val="7"/>
                <w:sz w:val="20"/>
                <w:szCs w:val="20"/>
              </w:rPr>
              <w:t>个</w:t>
            </w:r>
          </w:p>
        </w:tc>
        <w:tc>
          <w:tcPr>
            <w:tcW w:w="166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0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4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0"/>
                <w:szCs w:val="20"/>
              </w:rPr>
              <w:t>16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53" w:line="228" w:lineRule="auto"/>
              <w:ind w:left="125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根河市根河蓝莓饮品有</w:t>
            </w:r>
          </w:p>
          <w:p>
            <w:pPr>
              <w:pStyle w:val="6"/>
              <w:spacing w:before="65" w:line="228" w:lineRule="auto"/>
              <w:ind w:left="13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限公司野生浆果深加工</w:t>
            </w:r>
          </w:p>
          <w:p>
            <w:pPr>
              <w:pStyle w:val="6"/>
              <w:spacing w:before="65" w:line="228" w:lineRule="auto"/>
              <w:ind w:left="968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项目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210" w:line="273" w:lineRule="auto"/>
              <w:ind w:left="112" w:right="152" w:firstLine="1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依托根河野生蓝莓资源，建设蓝莓冲剂、野生果酱、浆果</w:t>
            </w:r>
            <w:r>
              <w:rPr>
                <w:spacing w:val="12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饮料等深加工项目</w:t>
            </w:r>
          </w:p>
        </w:tc>
        <w:tc>
          <w:tcPr>
            <w:tcW w:w="1661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2023-2030</w:t>
            </w:r>
          </w:p>
        </w:tc>
        <w:tc>
          <w:tcPr>
            <w:tcW w:w="1906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582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10000.00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09" w:line="274" w:lineRule="auto"/>
              <w:ind w:left="341" w:right="112" w:hanging="224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蓝莓饮品有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限公司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before="246" w:line="195" w:lineRule="auto"/>
              <w:ind w:left="34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0"/>
                <w:szCs w:val="20"/>
              </w:rPr>
              <w:t>17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55" w:line="260" w:lineRule="auto"/>
              <w:ind w:left="438" w:right="126" w:hanging="307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飞行器极寒测试基地基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础设施扩建项目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210" w:line="227" w:lineRule="auto"/>
              <w:ind w:left="114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建设飞机机库</w:t>
            </w:r>
            <w:r>
              <w:rPr>
                <w:spacing w:val="-2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4 </w:t>
            </w:r>
            <w:r>
              <w:rPr>
                <w:spacing w:val="4"/>
                <w:sz w:val="20"/>
                <w:szCs w:val="20"/>
              </w:rPr>
              <w:t>座，车库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1 </w:t>
            </w:r>
            <w:r>
              <w:rPr>
                <w:spacing w:val="4"/>
                <w:sz w:val="20"/>
                <w:szCs w:val="20"/>
              </w:rPr>
              <w:t>座，锅炉房</w:t>
            </w:r>
            <w:r>
              <w:rPr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1</w:t>
            </w:r>
            <w:r>
              <w:rPr>
                <w:rFonts w:ascii="Times New Roman" w:hAnsi="Times New Roman" w:eastAsia="Times New Roman" w:cs="Times New Roman"/>
                <w:spacing w:val="14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座</w:t>
            </w:r>
          </w:p>
        </w:tc>
        <w:tc>
          <w:tcPr>
            <w:tcW w:w="1661" w:type="dxa"/>
            <w:vAlign w:val="top"/>
          </w:tcPr>
          <w:p>
            <w:pPr>
              <w:spacing w:before="246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2024-2025</w:t>
            </w:r>
          </w:p>
        </w:tc>
        <w:tc>
          <w:tcPr>
            <w:tcW w:w="1906" w:type="dxa"/>
            <w:vAlign w:val="top"/>
          </w:tcPr>
          <w:p>
            <w:pPr>
              <w:spacing w:before="246" w:line="195" w:lineRule="auto"/>
              <w:ind w:left="61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4000.00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0" w:line="230" w:lineRule="auto"/>
              <w:ind w:left="221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河西公司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99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4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0"/>
                <w:szCs w:val="20"/>
              </w:rPr>
              <w:t>18</w:t>
            </w:r>
          </w:p>
        </w:tc>
        <w:tc>
          <w:tcPr>
            <w:tcW w:w="2346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75" w:lineRule="auto"/>
              <w:ind w:left="1110" w:right="126" w:hanging="984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敖鲁古雅沐渡水世界项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4" w:line="274" w:lineRule="auto"/>
              <w:ind w:left="111" w:right="152" w:firstLine="35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占地面积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10000 </w:t>
            </w:r>
            <w:r>
              <w:rPr>
                <w:spacing w:val="5"/>
                <w:sz w:val="20"/>
                <w:szCs w:val="20"/>
              </w:rPr>
              <w:t>平方米，建筑总面积为</w:t>
            </w:r>
            <w:r>
              <w:rPr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>13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600 </w:t>
            </w:r>
            <w:r>
              <w:rPr>
                <w:spacing w:val="4"/>
                <w:sz w:val="20"/>
                <w:szCs w:val="20"/>
              </w:rPr>
              <w:t>平方米，局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部三层建筑。设有室内游泳池、水上乐园、水疗中心、温</w:t>
            </w:r>
            <w:r>
              <w:rPr>
                <w:spacing w:val="15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泉区、演艺大厅、水幕电影院、餐饮和购物、儿童区域、</w:t>
            </w:r>
            <w:r>
              <w:rPr>
                <w:spacing w:val="15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造浪池等多项设施</w:t>
            </w:r>
          </w:p>
        </w:tc>
        <w:tc>
          <w:tcPr>
            <w:tcW w:w="1661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2024-2027</w:t>
            </w:r>
          </w:p>
        </w:tc>
        <w:tc>
          <w:tcPr>
            <w:tcW w:w="1906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62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8000.00</w:t>
            </w:r>
          </w:p>
        </w:tc>
        <w:tc>
          <w:tcPr>
            <w:tcW w:w="1275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7" w:lineRule="auto"/>
              <w:ind w:left="223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敖乡政府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99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4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0"/>
                <w:szCs w:val="20"/>
              </w:rPr>
              <w:t>19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211" w:line="273" w:lineRule="auto"/>
              <w:ind w:left="651" w:right="126" w:hanging="526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 xml:space="preserve">根河板业责任公司加工 </w:t>
            </w:r>
            <w:r>
              <w:rPr>
                <w:spacing w:val="7"/>
                <w:sz w:val="20"/>
                <w:szCs w:val="20"/>
              </w:rPr>
              <w:t>板方材项目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5" w:line="269" w:lineRule="auto"/>
              <w:ind w:left="111" w:right="105" w:firstLine="3"/>
              <w:jc w:val="both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建设</w:t>
            </w:r>
            <w:r>
              <w:rPr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4 </w:t>
            </w:r>
            <w:r>
              <w:rPr>
                <w:spacing w:val="7"/>
                <w:sz w:val="20"/>
                <w:szCs w:val="20"/>
              </w:rPr>
              <w:t>条集装箱托盘板生产线，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>4</w:t>
            </w:r>
            <w:r>
              <w:rPr>
                <w:rFonts w:ascii="Times New Roman" w:hAnsi="Times New Roman" w:eastAsia="Times New Roman" w:cs="Times New Roman"/>
                <w:spacing w:val="26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台新能源生物质科技燃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pacing w:val="4"/>
                <w:sz w:val="20"/>
                <w:szCs w:val="20"/>
              </w:rPr>
              <w:t xml:space="preserve">料制粒机；改造原有厂房 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2572.72  </w:t>
            </w:r>
            <w:r>
              <w:rPr>
                <w:spacing w:val="4"/>
                <w:sz w:val="20"/>
                <w:szCs w:val="20"/>
              </w:rPr>
              <w:t xml:space="preserve">平方米，原有库房 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3168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平方米</w:t>
            </w:r>
          </w:p>
        </w:tc>
        <w:tc>
          <w:tcPr>
            <w:tcW w:w="1661" w:type="dxa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2024-2025</w:t>
            </w:r>
          </w:p>
        </w:tc>
        <w:tc>
          <w:tcPr>
            <w:tcW w:w="1906" w:type="dxa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61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>3300.00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1" w:line="273" w:lineRule="auto"/>
              <w:ind w:left="130" w:right="112" w:hanging="14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根河板业有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限责任公司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995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74" w:lineRule="auto"/>
              <w:ind w:left="397" w:right="180" w:hanging="207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生态文</w:t>
            </w:r>
            <w:r>
              <w:rPr>
                <w:sz w:val="20"/>
                <w:szCs w:val="20"/>
              </w:rPr>
              <w:t xml:space="preserve"> 化</w:t>
            </w:r>
          </w:p>
        </w:tc>
        <w:tc>
          <w:tcPr>
            <w:tcW w:w="868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32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20</w:t>
            </w:r>
          </w:p>
        </w:tc>
        <w:tc>
          <w:tcPr>
            <w:tcW w:w="2346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73" w:lineRule="auto"/>
              <w:ind w:left="127" w:right="126" w:firstLine="17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中国冷极冰雪运动及马</w:t>
            </w:r>
            <w:r>
              <w:rPr>
                <w:spacing w:val="8"/>
                <w:sz w:val="20"/>
                <w:szCs w:val="20"/>
              </w:rPr>
              <w:t xml:space="preserve"> 拉松训练基地建设项目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5" w:line="279" w:lineRule="auto"/>
              <w:ind w:left="111" w:right="106" w:firstLine="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新建周长为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1000 </w:t>
            </w:r>
            <w:r>
              <w:rPr>
                <w:spacing w:val="6"/>
                <w:sz w:val="20"/>
                <w:szCs w:val="20"/>
              </w:rPr>
              <w:t>米、宽</w:t>
            </w:r>
            <w:r>
              <w:rPr>
                <w:spacing w:val="-3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5.4 </w:t>
            </w:r>
            <w:r>
              <w:rPr>
                <w:spacing w:val="6"/>
                <w:sz w:val="20"/>
                <w:szCs w:val="20"/>
              </w:rPr>
              <w:t>米的三合土越野跑训练跑道，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场地四周设铁网围栏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1800 </w:t>
            </w:r>
            <w:r>
              <w:rPr>
                <w:spacing w:val="5"/>
                <w:sz w:val="20"/>
                <w:szCs w:val="20"/>
              </w:rPr>
              <w:t>米，新建</w:t>
            </w:r>
            <w:r>
              <w:rPr>
                <w:spacing w:val="-4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400 </w:t>
            </w:r>
            <w:r>
              <w:rPr>
                <w:spacing w:val="5"/>
                <w:sz w:val="20"/>
                <w:szCs w:val="20"/>
              </w:rPr>
              <w:t>米标准田径运动场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地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>,</w:t>
            </w:r>
            <w:r>
              <w:rPr>
                <w:spacing w:val="7"/>
                <w:sz w:val="20"/>
                <w:szCs w:val="20"/>
              </w:rPr>
              <w:t>外侧修建</w:t>
            </w:r>
            <w:r>
              <w:rPr>
                <w:spacing w:val="-4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4 </w:t>
            </w:r>
            <w:r>
              <w:rPr>
                <w:spacing w:val="7"/>
                <w:sz w:val="20"/>
                <w:szCs w:val="20"/>
              </w:rPr>
              <w:t>米宽环形柏油轮滑场地；修建约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>1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400 </w:t>
            </w:r>
            <w:r>
              <w:rPr>
                <w:spacing w:val="6"/>
                <w:sz w:val="20"/>
                <w:szCs w:val="20"/>
              </w:rPr>
              <w:t>延长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pacing w:val="6"/>
                <w:sz w:val="20"/>
                <w:szCs w:val="20"/>
              </w:rPr>
              <w:t>米柏油公路；新建体育馆</w:t>
            </w:r>
            <w:r>
              <w:rPr>
                <w:spacing w:val="-3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6700 </w:t>
            </w:r>
            <w:r>
              <w:rPr>
                <w:spacing w:val="6"/>
                <w:sz w:val="20"/>
                <w:szCs w:val="20"/>
              </w:rPr>
              <w:t>平方米，内设综合体能训练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场地、监控室等附属设施；新建运动员宿舍及食堂</w:t>
            </w:r>
            <w:r>
              <w:rPr>
                <w:spacing w:val="-3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3500 </w:t>
            </w:r>
            <w:r>
              <w:rPr>
                <w:spacing w:val="6"/>
                <w:sz w:val="20"/>
                <w:szCs w:val="20"/>
              </w:rPr>
              <w:t>平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方米</w:t>
            </w:r>
          </w:p>
        </w:tc>
        <w:tc>
          <w:tcPr>
            <w:tcW w:w="1661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2023-2030</w:t>
            </w:r>
          </w:p>
        </w:tc>
        <w:tc>
          <w:tcPr>
            <w:tcW w:w="1906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61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4800.00</w:t>
            </w:r>
          </w:p>
        </w:tc>
        <w:tc>
          <w:tcPr>
            <w:tcW w:w="1275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330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教体局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26" w:type="default"/>
          <w:pgSz w:w="16839" w:h="11906"/>
          <w:pgMar w:top="1191" w:right="846" w:bottom="1152" w:left="1425" w:header="882" w:footer="987" w:gutter="0"/>
          <w:cols w:space="720" w:num="1"/>
        </w:sectPr>
      </w:pPr>
    </w:p>
    <w:p>
      <w:pPr>
        <w:spacing w:before="63"/>
      </w:pPr>
    </w:p>
    <w:p>
      <w:pPr>
        <w:spacing w:before="62"/>
      </w:pPr>
    </w:p>
    <w:tbl>
      <w:tblPr>
        <w:tblStyle w:val="5"/>
        <w:tblW w:w="1456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5"/>
        <w:gridCol w:w="868"/>
        <w:gridCol w:w="2346"/>
        <w:gridCol w:w="5510"/>
        <w:gridCol w:w="1661"/>
        <w:gridCol w:w="1906"/>
        <w:gridCol w:w="127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995" w:type="dxa"/>
            <w:vAlign w:val="top"/>
          </w:tcPr>
          <w:p>
            <w:pPr>
              <w:pStyle w:val="6"/>
              <w:spacing w:before="209" w:line="228" w:lineRule="auto"/>
              <w:ind w:left="291"/>
              <w:rPr>
                <w:sz w:val="20"/>
                <w:szCs w:val="20"/>
              </w:rPr>
            </w:pPr>
            <w:r>
              <w:rPr>
                <w:b/>
                <w:bCs/>
                <w:spacing w:val="3"/>
                <w:sz w:val="20"/>
                <w:szCs w:val="20"/>
              </w:rPr>
              <w:t>类别</w:t>
            </w:r>
          </w:p>
        </w:tc>
        <w:tc>
          <w:tcPr>
            <w:tcW w:w="868" w:type="dxa"/>
            <w:vAlign w:val="top"/>
          </w:tcPr>
          <w:p>
            <w:pPr>
              <w:pStyle w:val="6"/>
              <w:spacing w:before="210" w:line="229" w:lineRule="auto"/>
              <w:ind w:left="224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sz w:val="20"/>
                <w:szCs w:val="20"/>
              </w:rPr>
              <w:t>序号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210" w:line="228" w:lineRule="auto"/>
              <w:ind w:left="756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工程名称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209" w:line="228" w:lineRule="auto"/>
              <w:ind w:left="233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建设内容</w:t>
            </w:r>
          </w:p>
        </w:tc>
        <w:tc>
          <w:tcPr>
            <w:tcW w:w="1661" w:type="dxa"/>
            <w:vAlign w:val="top"/>
          </w:tcPr>
          <w:p>
            <w:pPr>
              <w:pStyle w:val="6"/>
              <w:spacing w:before="210" w:line="228" w:lineRule="auto"/>
              <w:ind w:left="41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实施期限</w:t>
            </w:r>
          </w:p>
        </w:tc>
        <w:tc>
          <w:tcPr>
            <w:tcW w:w="1906" w:type="dxa"/>
            <w:vAlign w:val="top"/>
          </w:tcPr>
          <w:p>
            <w:pPr>
              <w:pStyle w:val="6"/>
              <w:spacing w:before="210" w:line="223" w:lineRule="auto"/>
              <w:ind w:left="189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投资概算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5"/>
                <w:sz w:val="20"/>
                <w:szCs w:val="20"/>
              </w:rPr>
              <w:t>(</w:t>
            </w:r>
            <w:r>
              <w:rPr>
                <w:b/>
                <w:bCs/>
                <w:spacing w:val="5"/>
                <w:sz w:val="20"/>
                <w:szCs w:val="20"/>
              </w:rPr>
              <w:t>万元）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09" w:line="228" w:lineRule="auto"/>
              <w:ind w:left="229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sz w:val="20"/>
                <w:szCs w:val="20"/>
              </w:rPr>
              <w:t>责任部门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99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before="245" w:line="195" w:lineRule="auto"/>
              <w:ind w:left="32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21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207" w:line="227" w:lineRule="auto"/>
              <w:ind w:left="470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白桦科普宣教馆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0" w:line="262" w:lineRule="auto"/>
              <w:ind w:left="141" w:right="152" w:hanging="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新建建筑面积</w:t>
            </w:r>
            <w:r>
              <w:rPr>
                <w:spacing w:val="-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500 </w:t>
            </w:r>
            <w:r>
              <w:rPr>
                <w:spacing w:val="7"/>
                <w:sz w:val="20"/>
                <w:szCs w:val="20"/>
              </w:rPr>
              <w:t>平方米，</w:t>
            </w:r>
            <w:r>
              <w:rPr>
                <w:spacing w:val="-60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以科普、宣教、</w:t>
            </w:r>
            <w:r>
              <w:rPr>
                <w:spacing w:val="6"/>
                <w:sz w:val="20"/>
                <w:szCs w:val="20"/>
              </w:rPr>
              <w:t>体验为一体的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白桦科教馆</w:t>
            </w:r>
          </w:p>
        </w:tc>
        <w:tc>
          <w:tcPr>
            <w:tcW w:w="1661" w:type="dxa"/>
            <w:vAlign w:val="top"/>
          </w:tcPr>
          <w:p>
            <w:pPr>
              <w:spacing w:before="245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2023-2025</w:t>
            </w:r>
          </w:p>
        </w:tc>
        <w:tc>
          <w:tcPr>
            <w:tcW w:w="1906" w:type="dxa"/>
            <w:vAlign w:val="top"/>
          </w:tcPr>
          <w:p>
            <w:pPr>
              <w:spacing w:before="245" w:line="195" w:lineRule="auto"/>
              <w:ind w:left="66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>200.00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0" w:line="262" w:lineRule="auto"/>
              <w:ind w:left="329" w:right="112" w:hanging="21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得耳布尔森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工公司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995" w:type="dxa"/>
            <w:vMerge w:val="restart"/>
            <w:tcBorders>
              <w:bottom w:val="nil"/>
            </w:tcBorders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line="30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74" w:lineRule="auto"/>
              <w:ind w:left="396" w:right="180" w:hanging="206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生态制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度</w:t>
            </w:r>
          </w:p>
        </w:tc>
        <w:tc>
          <w:tcPr>
            <w:tcW w:w="868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2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22</w:t>
            </w:r>
          </w:p>
        </w:tc>
        <w:tc>
          <w:tcPr>
            <w:tcW w:w="2346" w:type="dxa"/>
            <w:vAlign w:val="top"/>
          </w:tcPr>
          <w:p>
            <w:pPr>
              <w:pStyle w:val="6"/>
              <w:spacing w:before="209" w:line="274" w:lineRule="auto"/>
              <w:ind w:left="1071" w:right="126" w:hanging="912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自然资源资产负债表编</w:t>
            </w:r>
            <w:r>
              <w:rPr>
                <w:spacing w:val="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制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4" w:line="269" w:lineRule="auto"/>
              <w:ind w:left="112" w:right="152"/>
              <w:jc w:val="both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根据根河市纯林业城市的特征，积极探索编制自然资源资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产负债表，逐步建立自然资源资产负债表编制制度，努力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摸清自然资源资产的家底及其变动情况</w:t>
            </w:r>
          </w:p>
        </w:tc>
        <w:tc>
          <w:tcPr>
            <w:tcW w:w="1661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2023-2025</w:t>
            </w:r>
          </w:p>
        </w:tc>
        <w:tc>
          <w:tcPr>
            <w:tcW w:w="1906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before="58" w:line="195" w:lineRule="auto"/>
              <w:ind w:left="67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500.00</w:t>
            </w:r>
          </w:p>
        </w:tc>
        <w:tc>
          <w:tcPr>
            <w:tcW w:w="1275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7" w:lineRule="auto"/>
              <w:ind w:left="12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市委市政府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99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" w:type="dxa"/>
            <w:vAlign w:val="top"/>
          </w:tcPr>
          <w:p>
            <w:pPr>
              <w:spacing w:line="344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32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23</w:t>
            </w:r>
          </w:p>
        </w:tc>
        <w:tc>
          <w:tcPr>
            <w:tcW w:w="2346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6" w:lineRule="auto"/>
              <w:ind w:left="338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生态产品价值核算</w:t>
            </w:r>
          </w:p>
        </w:tc>
        <w:tc>
          <w:tcPr>
            <w:tcW w:w="5510" w:type="dxa"/>
            <w:vAlign w:val="top"/>
          </w:tcPr>
          <w:p>
            <w:pPr>
              <w:pStyle w:val="6"/>
              <w:spacing w:before="55" w:line="269" w:lineRule="auto"/>
              <w:ind w:left="112" w:right="152" w:firstLine="2"/>
              <w:jc w:val="both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构建生态产品总值核算数据标准化收集体系，</w:t>
            </w:r>
            <w:r>
              <w:rPr>
                <w:spacing w:val="-59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以</w:t>
            </w:r>
            <w:r>
              <w:rPr>
                <w:spacing w:val="7"/>
                <w:sz w:val="20"/>
                <w:szCs w:val="20"/>
              </w:rPr>
              <w:t>生态系统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生产总值（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GEP</w:t>
            </w:r>
            <w:r>
              <w:rPr>
                <w:spacing w:val="10"/>
                <w:sz w:val="20"/>
                <w:szCs w:val="20"/>
              </w:rPr>
              <w:t>）核算体系管理生态资产，深入推进生态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产品价值核算</w:t>
            </w:r>
          </w:p>
        </w:tc>
        <w:tc>
          <w:tcPr>
            <w:tcW w:w="1661" w:type="dxa"/>
            <w:vAlign w:val="top"/>
          </w:tcPr>
          <w:p>
            <w:pPr>
              <w:spacing w:line="344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37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>2023-2025</w:t>
            </w:r>
          </w:p>
        </w:tc>
        <w:tc>
          <w:tcPr>
            <w:tcW w:w="1906" w:type="dxa"/>
            <w:vAlign w:val="top"/>
          </w:tcPr>
          <w:p>
            <w:pPr>
              <w:spacing w:line="344" w:lineRule="auto"/>
              <w:rPr>
                <w:rFonts w:ascii="Arial"/>
                <w:sz w:val="21"/>
              </w:rPr>
            </w:pPr>
          </w:p>
          <w:p>
            <w:pPr>
              <w:spacing w:before="57" w:line="195" w:lineRule="auto"/>
              <w:ind w:left="67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500.00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2" w:line="273" w:lineRule="auto"/>
              <w:ind w:left="116" w:right="112" w:firstLine="1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生态环境局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根河市分局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11380" w:type="dxa"/>
            <w:gridSpan w:val="5"/>
            <w:vAlign w:val="top"/>
          </w:tcPr>
          <w:p>
            <w:pPr>
              <w:pStyle w:val="6"/>
              <w:spacing w:before="130" w:line="229" w:lineRule="auto"/>
              <w:ind w:left="548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合计</w:t>
            </w:r>
          </w:p>
        </w:tc>
        <w:tc>
          <w:tcPr>
            <w:tcW w:w="1906" w:type="dxa"/>
            <w:vAlign w:val="top"/>
          </w:tcPr>
          <w:p>
            <w:pPr>
              <w:spacing w:before="166" w:line="195" w:lineRule="auto"/>
              <w:ind w:left="57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>82130.00</w:t>
            </w:r>
          </w:p>
        </w:tc>
        <w:tc>
          <w:tcPr>
            <w:tcW w:w="127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sectPr>
      <w:footerReference r:id="rId127" w:type="default"/>
      <w:pgSz w:w="16839" w:h="11906"/>
      <w:pgMar w:top="1191" w:right="846" w:bottom="1152" w:left="1425" w:header="882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FangSong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13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13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13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13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12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3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12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4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7" w:lineRule="auto"/>
      <w:ind w:left="412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5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12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6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7" w:lineRule="auto"/>
      <w:ind w:left="412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7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127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8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127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9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9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10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09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11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13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12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9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13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09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14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701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15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701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16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701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17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701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18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9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sz w:val="18"/>
        <w:szCs w:val="18"/>
      </w:rPr>
      <w:t>19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20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21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22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23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24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25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26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27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28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29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30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31</w: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32</w:t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33</w:t>
    </w: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34</w:t>
    </w: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35</w:t>
    </w: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36</w:t>
    </w: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37</w:t>
    </w: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38</w:t>
    </w: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39</w:t>
    </w:r>
  </w:p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7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40</w:t>
    </w:r>
  </w:p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07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41</w:t>
    </w:r>
  </w:p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7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42</w:t>
    </w:r>
  </w:p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7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43</w:t>
    </w:r>
  </w:p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07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44</w:t>
    </w:r>
  </w:p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07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45</w:t>
    </w:r>
  </w:p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7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46</w:t>
    </w:r>
  </w:p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07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47</w:t>
    </w:r>
  </w:p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7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48</w:t>
    </w:r>
  </w:p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7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3"/>
        <w:sz w:val="18"/>
        <w:szCs w:val="18"/>
      </w:rPr>
      <w:t>49</w:t>
    </w:r>
  </w:p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50</w:t>
    </w:r>
  </w:p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51</w:t>
    </w:r>
  </w:p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52</w:t>
    </w:r>
  </w:p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53</w:t>
    </w:r>
  </w:p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54</w:t>
    </w:r>
  </w:p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7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55</w:t>
    </w:r>
  </w:p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56</w:t>
    </w:r>
  </w:p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7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57</w:t>
    </w:r>
  </w:p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08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58</w:t>
    </w:r>
  </w:p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691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59</w:t>
    </w:r>
  </w:p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6912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60</w:t>
    </w:r>
  </w:p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6912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61</w:t>
    </w:r>
  </w:p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6912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5"/>
        <w:sz w:val="18"/>
        <w:szCs w:val="18"/>
      </w:rPr>
      <w:t>62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097" o:spid="_x0000_s4097" style="position:absolute;left:0pt;margin-left:90pt;margin-top:58.15pt;height:0.5pt;width:415.3pt;mso-position-horizontal-relative:page;mso-position-vertical-relative:page;z-index:251659264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098" o:spid="_x0000_s4098" style="position:absolute;left:0pt;margin-left:90pt;margin-top:58.15pt;height:0.5pt;width:415.3pt;mso-position-horizontal-relative:page;mso-position-vertical-relative:page;z-index:251660288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099" o:spid="_x0000_s4099" style="position:absolute;left:0pt;margin-left:90pt;margin-top:58.15pt;height:0.5pt;width:415.3pt;mso-position-horizontal-relative:page;mso-position-vertical-relative:page;z-index:251661312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00" o:spid="_x0000_s4100" style="position:absolute;left:0pt;margin-left:90pt;margin-top:58.15pt;height:0.5pt;width:415.3pt;mso-position-horizontal-relative:page;mso-position-vertical-relative:page;z-index:25166233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01" o:spid="_x0000_s4101" style="position:absolute;left:0pt;margin-left:90pt;margin-top:58.15pt;height:0.5pt;width:415.3pt;mso-position-horizontal-relative:page;mso-position-vertical-relative:page;z-index:25166336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02" o:spid="_x0000_s4102" style="position:absolute;left:0pt;margin-left:90pt;margin-top:58.15pt;height:0.5pt;width:415.3pt;mso-position-horizontal-relative:page;mso-position-vertical-relative:page;z-index:251664384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03" o:spid="_x0000_s4103" style="position:absolute;left:0pt;margin-left:90pt;margin-top:58.15pt;height:0.5pt;width:415.3pt;mso-position-horizontal-relative:page;mso-position-vertical-relative:page;z-index:251661312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04" o:spid="_x0000_s4104" style="position:absolute;left:0pt;margin-left:90pt;margin-top:58.15pt;height:0.5pt;width:415.3pt;mso-position-horizontal-relative:page;mso-position-vertical-relative:page;z-index:251664384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05" o:spid="_x0000_s4105" style="position:absolute;left:0pt;margin-left:90pt;margin-top:58.15pt;height:0.5pt;width:415.3pt;mso-position-horizontal-relative:page;mso-position-vertical-relative:page;z-index:251665408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06" o:spid="_x0000_s4106" style="position:absolute;left:0pt;margin-left:90pt;margin-top:58.15pt;height:0.5pt;width:415.3pt;mso-position-horizontal-relative:page;mso-position-vertical-relative:page;z-index:251666432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07" o:spid="_x0000_s4107" style="position:absolute;left:0pt;margin-left:90pt;margin-top:58.15pt;height:0.5pt;width:415.3pt;mso-position-horizontal-relative:page;mso-position-vertical-relative:page;z-index:25166745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08" o:spid="_x0000_s4108" style="position:absolute;left:0pt;margin-left:90pt;margin-top:58.15pt;height:0.5pt;width:415.3pt;mso-position-horizontal-relative:page;mso-position-vertical-relative:page;z-index:25166336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09" o:spid="_x0000_s4109" style="position:absolute;left:0pt;margin-left:90pt;margin-top:58.15pt;height:0.5pt;width:415.3pt;mso-position-horizontal-relative:page;mso-position-vertical-relative:page;z-index:25166848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10" o:spid="_x0000_s4110" style="position:absolute;left:0pt;margin-left:90pt;margin-top:58.15pt;height:0.5pt;width:415.3pt;mso-position-horizontal-relative:page;mso-position-vertical-relative:page;z-index:25166336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1035"/>
      <w:rPr>
        <w:rFonts w:ascii="宋体" w:hAnsi="宋体" w:eastAsia="宋体" w:cs="宋体"/>
        <w:sz w:val="20"/>
        <w:szCs w:val="20"/>
      </w:rPr>
    </w:pPr>
    <w:r>
      <w:pict>
        <v:shape id="_x0000_s4111" o:spid="_x0000_s4111" style="position:absolute;left:0pt;margin-left:90pt;margin-top:58.15pt;height:0.5pt;width:415.3pt;mso-position-horizontal-relative:page;mso-position-vertical-relative:page;z-index:251669504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12" o:spid="_x0000_s4112" style="position:absolute;left:0pt;margin-left:90pt;margin-top:58.15pt;height:0.5pt;width:415.3pt;mso-position-horizontal-relative:page;mso-position-vertical-relative:page;z-index:25166233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13" o:spid="_x0000_s4113" style="position:absolute;left:0pt;margin-left:90pt;margin-top:58.15pt;height:0.5pt;width:415.3pt;mso-position-horizontal-relative:page;mso-position-vertical-relative:page;z-index:251670528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3920"/>
      <w:rPr>
        <w:rFonts w:ascii="宋体" w:hAnsi="宋体" w:eastAsia="宋体" w:cs="宋体"/>
        <w:sz w:val="20"/>
        <w:szCs w:val="20"/>
      </w:rPr>
    </w:pPr>
    <w:r>
      <w:pict>
        <v:shape id="_x0000_s4114" o:spid="_x0000_s4114" style="position:absolute;left:0pt;margin-left:72pt;margin-top:58.15pt;height:0.5pt;width:697.95pt;mso-position-horizontal-relative:page;mso-position-vertical-relative:page;z-index:251671552;mso-width-relative:page;mso-height-relative:page;" fillcolor="#000000" filled="t" stroked="f" coordsize="13959,10" o:allowincell="f" path="m0,0l13958,0,13958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15" o:spid="_x0000_s4115" style="position:absolute;left:0pt;margin-left:90pt;margin-top:58.15pt;height:0.5pt;width:415.3pt;mso-position-horizontal-relative:page;mso-position-vertical-relative:page;z-index:25166233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16" o:spid="_x0000_s4116" style="position:absolute;left:0pt;margin-left:90pt;margin-top:58.15pt;height:0.5pt;width:415.3pt;mso-position-horizontal-relative:page;mso-position-vertical-relative:page;z-index:25166848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17" o:spid="_x0000_s4117" style="position:absolute;left:0pt;margin-left:90pt;margin-top:58.15pt;height:0.5pt;width:415.3pt;mso-position-horizontal-relative:page;mso-position-vertical-relative:page;z-index:251670528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18" o:spid="_x0000_s4118" style="position:absolute;left:0pt;margin-left:90pt;margin-top:58.15pt;height:0.5pt;width:415.3pt;mso-position-horizontal-relative:page;mso-position-vertical-relative:page;z-index:25166336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19" o:spid="_x0000_s4119" style="position:absolute;left:0pt;margin-left:90pt;margin-top:58.15pt;height:0.5pt;width:415.3pt;mso-position-horizontal-relative:page;mso-position-vertical-relative:page;z-index:251665408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20" o:spid="_x0000_s4120" style="position:absolute;left:0pt;margin-left:90pt;margin-top:58.15pt;height:0.5pt;width:415.3pt;mso-position-horizontal-relative:page;mso-position-vertical-relative:page;z-index:251664384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21" o:spid="_x0000_s4121" style="position:absolute;left:0pt;margin-left:90pt;margin-top:58.15pt;height:0.5pt;width:415.3pt;mso-position-horizontal-relative:page;mso-position-vertical-relative:page;z-index:25166848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22" o:spid="_x0000_s4122" style="position:absolute;left:0pt;margin-left:90pt;margin-top:58.15pt;height:0.5pt;width:415.3pt;mso-position-horizontal-relative:page;mso-position-vertical-relative:page;z-index:251665408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23" o:spid="_x0000_s4123" style="position:absolute;left:0pt;margin-left:90pt;margin-top:58.15pt;height:0.5pt;width:415.3pt;mso-position-horizontal-relative:page;mso-position-vertical-relative:page;z-index:25166336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24" o:spid="_x0000_s4124" style="position:absolute;left:0pt;margin-left:90pt;margin-top:58.15pt;height:0.5pt;width:415.3pt;mso-position-horizontal-relative:page;mso-position-vertical-relative:page;z-index:25167257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25" o:spid="_x0000_s4125" style="position:absolute;left:0pt;margin-left:90pt;margin-top:58.15pt;height:0.5pt;width:415.3pt;mso-position-horizontal-relative:page;mso-position-vertical-relative:page;z-index:25166848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26" o:spid="_x0000_s4126" style="position:absolute;left:0pt;margin-left:90pt;margin-top:58.15pt;height:0.5pt;width:415.3pt;mso-position-horizontal-relative:page;mso-position-vertical-relative:page;z-index:25167360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27" o:spid="_x0000_s4127" style="position:absolute;left:0pt;margin-left:90pt;margin-top:58.15pt;height:0.5pt;width:415.3pt;mso-position-horizontal-relative:page;mso-position-vertical-relative:page;z-index:251674624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28" o:spid="_x0000_s4128" style="position:absolute;left:0pt;margin-left:90pt;margin-top:58.15pt;height:0.5pt;width:415.3pt;mso-position-horizontal-relative:page;mso-position-vertical-relative:page;z-index:25166336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29" o:spid="_x0000_s4129" style="position:absolute;left:0pt;margin-left:90pt;margin-top:58.15pt;height:0.5pt;width:415.3pt;mso-position-horizontal-relative:page;mso-position-vertical-relative:page;z-index:251664384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30" o:spid="_x0000_s4130" style="position:absolute;left:0pt;margin-left:90pt;margin-top:58.15pt;height:0.5pt;width:415.3pt;mso-position-horizontal-relative:page;mso-position-vertical-relative:page;z-index:25166336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31" o:spid="_x0000_s4131" style="position:absolute;left:0pt;margin-left:90pt;margin-top:58.15pt;height:0.5pt;width:415.3pt;mso-position-horizontal-relative:page;mso-position-vertical-relative:page;z-index:25166233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32" o:spid="_x0000_s4132" style="position:absolute;left:0pt;margin-left:90pt;margin-top:58.15pt;height:0.5pt;width:415.3pt;mso-position-horizontal-relative:page;mso-position-vertical-relative:page;z-index:25166848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33" o:spid="_x0000_s4133" style="position:absolute;left:0pt;margin-left:90pt;margin-top:58.15pt;height:0.5pt;width:415.3pt;mso-position-horizontal-relative:page;mso-position-vertical-relative:page;z-index:25166336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34" o:spid="_x0000_s4134" style="position:absolute;left:0pt;margin-left:90pt;margin-top:58.15pt;height:0.5pt;width:415.3pt;mso-position-horizontal-relative:page;mso-position-vertical-relative:page;z-index:25167257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35" o:spid="_x0000_s4135" style="position:absolute;left:0pt;margin-left:90pt;margin-top:58.15pt;height:0.5pt;width:415.3pt;mso-position-horizontal-relative:page;mso-position-vertical-relative:page;z-index:25166745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36" o:spid="_x0000_s4136" style="position:absolute;left:0pt;margin-left:90pt;margin-top:58.15pt;height:0.5pt;width:415.3pt;mso-position-horizontal-relative:page;mso-position-vertical-relative:page;z-index:251675648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37" o:spid="_x0000_s4137" style="position:absolute;left:0pt;margin-left:90pt;margin-top:58.15pt;height:0.5pt;width:415.3pt;mso-position-horizontal-relative:page;mso-position-vertical-relative:page;z-index:25166745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38" o:spid="_x0000_s4138" style="position:absolute;left:0pt;margin-left:90pt;margin-top:58.15pt;height:0.5pt;width:415.3pt;mso-position-horizontal-relative:page;mso-position-vertical-relative:page;z-index:251674624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39" o:spid="_x0000_s4139" style="position:absolute;left:0pt;margin-left:90pt;margin-top:58.15pt;height:0.5pt;width:415.3pt;mso-position-horizontal-relative:page;mso-position-vertical-relative:page;z-index:25166336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40" o:spid="_x0000_s4140" style="position:absolute;left:0pt;margin-left:90pt;margin-top:58.15pt;height:0.5pt;width:415.3pt;mso-position-horizontal-relative:page;mso-position-vertical-relative:page;z-index:251665408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41" o:spid="_x0000_s4141" style="position:absolute;left:0pt;margin-left:90pt;margin-top:58.15pt;height:0.5pt;width:415.3pt;mso-position-horizontal-relative:page;mso-position-vertical-relative:page;z-index:25166745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42" o:spid="_x0000_s4142" style="position:absolute;left:0pt;margin-left:90pt;margin-top:58.15pt;height:0.5pt;width:415.3pt;mso-position-horizontal-relative:page;mso-position-vertical-relative:page;z-index:251676672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43" o:spid="_x0000_s4143" style="position:absolute;left:0pt;margin-left:90pt;margin-top:58.15pt;height:0.5pt;width:415.3pt;mso-position-horizontal-relative:page;mso-position-vertical-relative:page;z-index:251663360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44" o:spid="_x0000_s4144" style="position:absolute;left:0pt;margin-left:90pt;margin-top:58.15pt;height:0.5pt;width:415.3pt;mso-position-horizontal-relative:page;mso-position-vertical-relative:page;z-index:25166233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45" o:spid="_x0000_s4145" style="position:absolute;left:0pt;margin-left:90pt;margin-top:58.15pt;height:0.5pt;width:415.3pt;mso-position-horizontal-relative:page;mso-position-vertical-relative:page;z-index:251665408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46" o:spid="_x0000_s4146" style="position:absolute;left:0pt;margin-left:90pt;margin-top:58.15pt;height:0.5pt;width:415.3pt;mso-position-horizontal-relative:page;mso-position-vertical-relative:page;z-index:251664384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47" o:spid="_x0000_s4147" style="position:absolute;left:0pt;margin-left:90pt;margin-top:58.15pt;height:0.5pt;width:415.3pt;mso-position-horizontal-relative:page;mso-position-vertical-relative:page;z-index:251661312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48" o:spid="_x0000_s4148" style="position:absolute;left:0pt;margin-left:90pt;margin-top:58.15pt;height:0.5pt;width:415.3pt;mso-position-horizontal-relative:page;mso-position-vertical-relative:page;z-index:25166233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49" o:spid="_x0000_s4149" style="position:absolute;left:0pt;margin-left:90pt;margin-top:58.15pt;height:0.5pt;width:415.3pt;mso-position-horizontal-relative:page;mso-position-vertical-relative:page;z-index:25167769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50" o:spid="_x0000_s4150" style="position:absolute;left:0pt;margin-left:90pt;margin-top:58.15pt;height:0.5pt;width:415.3pt;mso-position-horizontal-relative:page;mso-position-vertical-relative:page;z-index:251674624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51" o:spid="_x0000_s4151" style="position:absolute;left:0pt;margin-left:90pt;margin-top:58.15pt;height:0.5pt;width:415.3pt;mso-position-horizontal-relative:page;mso-position-vertical-relative:page;z-index:251677696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994"/>
      <w:rPr>
        <w:rFonts w:ascii="宋体" w:hAnsi="宋体" w:eastAsia="宋体" w:cs="宋体"/>
        <w:sz w:val="20"/>
        <w:szCs w:val="20"/>
      </w:rPr>
    </w:pPr>
    <w:r>
      <w:pict>
        <v:shape id="_x0000_s4152" o:spid="_x0000_s4152" style="position:absolute;left:0pt;margin-left:90pt;margin-top:58.15pt;height:0.5pt;width:415.3pt;mso-position-horizontal-relative:page;mso-position-vertical-relative:page;z-index:251661312;mso-width-relative:page;mso-height-relative:page;" fillcolor="#000000" filled="t" stroked="f" coordsize="8305,10" o:allowincell="f" path="m0,0l8305,0,8305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8" w:line="228" w:lineRule="auto"/>
      <w:ind w:left="3822"/>
      <w:rPr>
        <w:rFonts w:ascii="宋体" w:hAnsi="宋体" w:eastAsia="宋体" w:cs="宋体"/>
        <w:sz w:val="20"/>
        <w:szCs w:val="20"/>
      </w:rPr>
    </w:pPr>
    <w:r>
      <w:pict>
        <v:shape id="_x0000_s4153" o:spid="_x0000_s4153" style="position:absolute;left:0pt;margin-left:72pt;margin-top:58.15pt;height:0.5pt;width:697.95pt;mso-position-horizontal-relative:page;mso-position-vertical-relative:page;z-index:251678720;mso-width-relative:page;mso-height-relative:page;" fillcolor="#000000" filled="t" stroked="f" coordsize="13959,10" o:allowincell="f" path="m0,0l13958,0,13958,9,0,9,0,0xe">
          <v:path/>
          <v:fill on="t" focussize="0,0"/>
          <v:stroke on="f"/>
          <v:imagedata o:title=""/>
          <o:lock v:ext="edit"/>
        </v:shape>
      </w:pict>
    </w:r>
    <w:r>
      <w:rPr>
        <w:rFonts w:ascii="宋体" w:hAnsi="宋体" w:eastAsia="宋体" w:cs="宋体"/>
        <w:spacing w:val="8"/>
        <w:sz w:val="20"/>
        <w:szCs w:val="20"/>
      </w:rPr>
      <w:t>《内蒙古自治区根河市国家生态文明建设示范市规划（</w:t>
    </w:r>
    <w:r>
      <w:rPr>
        <w:rFonts w:ascii="Times New Roman" w:hAnsi="Times New Roman" w:eastAsia="Times New Roman" w:cs="Times New Roman"/>
        <w:spacing w:val="8"/>
        <w:sz w:val="20"/>
        <w:szCs w:val="20"/>
      </w:rPr>
      <w:t>2023-2035</w:t>
    </w:r>
    <w:r>
      <w:rPr>
        <w:rFonts w:ascii="宋体" w:hAnsi="宋体" w:eastAsia="宋体" w:cs="宋体"/>
        <w:spacing w:val="8"/>
        <w:sz w:val="20"/>
        <w:szCs w:val="20"/>
      </w:rPr>
      <w:t>）》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isplayBackgroundShape w:val="1"/>
  <w:documentProtection w:enforcement="0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zM4ZGRiZjJmN2Y4NDA5OTAzZWQ5MDMzMGJjODRmOTEifQ=="/>
  </w:docVars>
  <w:rsids>
    <w:rsidRoot w:val="00000000"/>
    <w:rsid w:val="0FBE408C"/>
    <w:rsid w:val="2EBB73FE"/>
    <w:rsid w:val="5A5F266E"/>
    <w:rsid w:val="5F4CBE5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header" Target="header46.xml"/><Relationship Id="rId98" Type="http://schemas.openxmlformats.org/officeDocument/2006/relationships/footer" Target="footer49.xml"/><Relationship Id="rId97" Type="http://schemas.openxmlformats.org/officeDocument/2006/relationships/header" Target="header45.xml"/><Relationship Id="rId96" Type="http://schemas.openxmlformats.org/officeDocument/2006/relationships/footer" Target="footer48.xml"/><Relationship Id="rId95" Type="http://schemas.openxmlformats.org/officeDocument/2006/relationships/footer" Target="footer47.xml"/><Relationship Id="rId94" Type="http://schemas.openxmlformats.org/officeDocument/2006/relationships/header" Target="header44.xml"/><Relationship Id="rId93" Type="http://schemas.openxmlformats.org/officeDocument/2006/relationships/footer" Target="footer46.xml"/><Relationship Id="rId92" Type="http://schemas.openxmlformats.org/officeDocument/2006/relationships/header" Target="header43.xml"/><Relationship Id="rId91" Type="http://schemas.openxmlformats.org/officeDocument/2006/relationships/footer" Target="footer45.xml"/><Relationship Id="rId90" Type="http://schemas.openxmlformats.org/officeDocument/2006/relationships/header" Target="header42.xml"/><Relationship Id="rId9" Type="http://schemas.openxmlformats.org/officeDocument/2006/relationships/header" Target="header4.xml"/><Relationship Id="rId89" Type="http://schemas.openxmlformats.org/officeDocument/2006/relationships/footer" Target="footer44.xml"/><Relationship Id="rId88" Type="http://schemas.openxmlformats.org/officeDocument/2006/relationships/header" Target="header41.xml"/><Relationship Id="rId87" Type="http://schemas.openxmlformats.org/officeDocument/2006/relationships/footer" Target="footer43.xml"/><Relationship Id="rId86" Type="http://schemas.openxmlformats.org/officeDocument/2006/relationships/header" Target="header40.xml"/><Relationship Id="rId85" Type="http://schemas.openxmlformats.org/officeDocument/2006/relationships/footer" Target="footer42.xml"/><Relationship Id="rId84" Type="http://schemas.openxmlformats.org/officeDocument/2006/relationships/header" Target="header39.xml"/><Relationship Id="rId83" Type="http://schemas.openxmlformats.org/officeDocument/2006/relationships/footer" Target="footer41.xml"/><Relationship Id="rId82" Type="http://schemas.openxmlformats.org/officeDocument/2006/relationships/header" Target="header38.xml"/><Relationship Id="rId81" Type="http://schemas.openxmlformats.org/officeDocument/2006/relationships/footer" Target="footer40.xml"/><Relationship Id="rId80" Type="http://schemas.openxmlformats.org/officeDocument/2006/relationships/header" Target="header37.xml"/><Relationship Id="rId8" Type="http://schemas.openxmlformats.org/officeDocument/2006/relationships/header" Target="header3.xml"/><Relationship Id="rId79" Type="http://schemas.openxmlformats.org/officeDocument/2006/relationships/footer" Target="footer39.xml"/><Relationship Id="rId78" Type="http://schemas.openxmlformats.org/officeDocument/2006/relationships/header" Target="header36.xml"/><Relationship Id="rId77" Type="http://schemas.openxmlformats.org/officeDocument/2006/relationships/footer" Target="footer38.xml"/><Relationship Id="rId76" Type="http://schemas.openxmlformats.org/officeDocument/2006/relationships/header" Target="header35.xml"/><Relationship Id="rId75" Type="http://schemas.openxmlformats.org/officeDocument/2006/relationships/footer" Target="footer37.xml"/><Relationship Id="rId74" Type="http://schemas.openxmlformats.org/officeDocument/2006/relationships/header" Target="header34.xml"/><Relationship Id="rId73" Type="http://schemas.openxmlformats.org/officeDocument/2006/relationships/footer" Target="footer36.xml"/><Relationship Id="rId72" Type="http://schemas.openxmlformats.org/officeDocument/2006/relationships/header" Target="header33.xml"/><Relationship Id="rId71" Type="http://schemas.openxmlformats.org/officeDocument/2006/relationships/footer" Target="footer35.xml"/><Relationship Id="rId70" Type="http://schemas.openxmlformats.org/officeDocument/2006/relationships/header" Target="header32.xml"/><Relationship Id="rId7" Type="http://schemas.openxmlformats.org/officeDocument/2006/relationships/header" Target="header2.xml"/><Relationship Id="rId69" Type="http://schemas.openxmlformats.org/officeDocument/2006/relationships/footer" Target="footer34.xml"/><Relationship Id="rId68" Type="http://schemas.openxmlformats.org/officeDocument/2006/relationships/header" Target="header31.xml"/><Relationship Id="rId67" Type="http://schemas.openxmlformats.org/officeDocument/2006/relationships/footer" Target="footer33.xml"/><Relationship Id="rId66" Type="http://schemas.openxmlformats.org/officeDocument/2006/relationships/header" Target="header30.xml"/><Relationship Id="rId65" Type="http://schemas.openxmlformats.org/officeDocument/2006/relationships/footer" Target="footer32.xml"/><Relationship Id="rId64" Type="http://schemas.openxmlformats.org/officeDocument/2006/relationships/header" Target="header29.xml"/><Relationship Id="rId63" Type="http://schemas.openxmlformats.org/officeDocument/2006/relationships/footer" Target="footer31.xml"/><Relationship Id="rId62" Type="http://schemas.openxmlformats.org/officeDocument/2006/relationships/header" Target="header28.xml"/><Relationship Id="rId61" Type="http://schemas.openxmlformats.org/officeDocument/2006/relationships/footer" Target="footer30.xml"/><Relationship Id="rId60" Type="http://schemas.openxmlformats.org/officeDocument/2006/relationships/footer" Target="footer29.xml"/><Relationship Id="rId6" Type="http://schemas.openxmlformats.org/officeDocument/2006/relationships/footer" Target="footer1.xml"/><Relationship Id="rId59" Type="http://schemas.openxmlformats.org/officeDocument/2006/relationships/header" Target="header27.xml"/><Relationship Id="rId58" Type="http://schemas.openxmlformats.org/officeDocument/2006/relationships/footer" Target="footer28.xml"/><Relationship Id="rId57" Type="http://schemas.openxmlformats.org/officeDocument/2006/relationships/header" Target="header26.xml"/><Relationship Id="rId56" Type="http://schemas.openxmlformats.org/officeDocument/2006/relationships/footer" Target="footer27.xml"/><Relationship Id="rId55" Type="http://schemas.openxmlformats.org/officeDocument/2006/relationships/header" Target="header25.xml"/><Relationship Id="rId54" Type="http://schemas.openxmlformats.org/officeDocument/2006/relationships/footer" Target="footer26.xml"/><Relationship Id="rId53" Type="http://schemas.openxmlformats.org/officeDocument/2006/relationships/header" Target="header24.xml"/><Relationship Id="rId52" Type="http://schemas.openxmlformats.org/officeDocument/2006/relationships/footer" Target="footer25.xml"/><Relationship Id="rId51" Type="http://schemas.openxmlformats.org/officeDocument/2006/relationships/header" Target="header23.xml"/><Relationship Id="rId50" Type="http://schemas.openxmlformats.org/officeDocument/2006/relationships/footer" Target="footer24.xml"/><Relationship Id="rId5" Type="http://schemas.openxmlformats.org/officeDocument/2006/relationships/header" Target="header1.xml"/><Relationship Id="rId49" Type="http://schemas.openxmlformats.org/officeDocument/2006/relationships/header" Target="header22.xml"/><Relationship Id="rId48" Type="http://schemas.openxmlformats.org/officeDocument/2006/relationships/footer" Target="footer23.xml"/><Relationship Id="rId47" Type="http://schemas.openxmlformats.org/officeDocument/2006/relationships/header" Target="header21.xml"/><Relationship Id="rId46" Type="http://schemas.openxmlformats.org/officeDocument/2006/relationships/footer" Target="footer22.xml"/><Relationship Id="rId45" Type="http://schemas.openxmlformats.org/officeDocument/2006/relationships/header" Target="header20.xml"/><Relationship Id="rId44" Type="http://schemas.openxmlformats.org/officeDocument/2006/relationships/footer" Target="footer21.xml"/><Relationship Id="rId43" Type="http://schemas.openxmlformats.org/officeDocument/2006/relationships/footer" Target="footer20.xml"/><Relationship Id="rId42" Type="http://schemas.openxmlformats.org/officeDocument/2006/relationships/footer" Target="footer19.xml"/><Relationship Id="rId41" Type="http://schemas.openxmlformats.org/officeDocument/2006/relationships/footer" Target="footer18.xml"/><Relationship Id="rId40" Type="http://schemas.openxmlformats.org/officeDocument/2006/relationships/header" Target="header19.xml"/><Relationship Id="rId4" Type="http://schemas.openxmlformats.org/officeDocument/2006/relationships/endnotes" Target="endnotes.xml"/><Relationship Id="rId39" Type="http://schemas.openxmlformats.org/officeDocument/2006/relationships/footer" Target="footer17.xml"/><Relationship Id="rId38" Type="http://schemas.openxmlformats.org/officeDocument/2006/relationships/header" Target="header18.xml"/><Relationship Id="rId37" Type="http://schemas.openxmlformats.org/officeDocument/2006/relationships/footer" Target="footer16.xml"/><Relationship Id="rId36" Type="http://schemas.openxmlformats.org/officeDocument/2006/relationships/header" Target="header17.xml"/><Relationship Id="rId35" Type="http://schemas.openxmlformats.org/officeDocument/2006/relationships/footer" Target="footer15.xml"/><Relationship Id="rId34" Type="http://schemas.openxmlformats.org/officeDocument/2006/relationships/header" Target="header16.xml"/><Relationship Id="rId33" Type="http://schemas.openxmlformats.org/officeDocument/2006/relationships/footer" Target="footer14.xml"/><Relationship Id="rId32" Type="http://schemas.openxmlformats.org/officeDocument/2006/relationships/header" Target="header15.xml"/><Relationship Id="rId31" Type="http://schemas.openxmlformats.org/officeDocument/2006/relationships/footer" Target="footer13.xml"/><Relationship Id="rId30" Type="http://schemas.openxmlformats.org/officeDocument/2006/relationships/header" Target="header14.xml"/><Relationship Id="rId3" Type="http://schemas.openxmlformats.org/officeDocument/2006/relationships/footnotes" Target="footnotes.xml"/><Relationship Id="rId29" Type="http://schemas.openxmlformats.org/officeDocument/2006/relationships/footer" Target="footer12.xml"/><Relationship Id="rId28" Type="http://schemas.openxmlformats.org/officeDocument/2006/relationships/header" Target="header13.xml"/><Relationship Id="rId27" Type="http://schemas.openxmlformats.org/officeDocument/2006/relationships/footer" Target="footer11.xml"/><Relationship Id="rId26" Type="http://schemas.openxmlformats.org/officeDocument/2006/relationships/header" Target="header12.xml"/><Relationship Id="rId25" Type="http://schemas.openxmlformats.org/officeDocument/2006/relationships/footer" Target="footer10.xml"/><Relationship Id="rId24" Type="http://schemas.openxmlformats.org/officeDocument/2006/relationships/header" Target="header11.xml"/><Relationship Id="rId23" Type="http://schemas.openxmlformats.org/officeDocument/2006/relationships/footer" Target="footer9.xml"/><Relationship Id="rId22" Type="http://schemas.openxmlformats.org/officeDocument/2006/relationships/header" Target="header10.xml"/><Relationship Id="rId21" Type="http://schemas.openxmlformats.org/officeDocument/2006/relationships/footer" Target="footer8.xml"/><Relationship Id="rId20" Type="http://schemas.openxmlformats.org/officeDocument/2006/relationships/header" Target="header9.xml"/><Relationship Id="rId2" Type="http://schemas.openxmlformats.org/officeDocument/2006/relationships/settings" Target="settings.xml"/><Relationship Id="rId19" Type="http://schemas.openxmlformats.org/officeDocument/2006/relationships/footer" Target="footer7.xml"/><Relationship Id="rId18" Type="http://schemas.openxmlformats.org/officeDocument/2006/relationships/header" Target="header8.xml"/><Relationship Id="rId17" Type="http://schemas.openxmlformats.org/officeDocument/2006/relationships/footer" Target="footer6.xml"/><Relationship Id="rId16" Type="http://schemas.openxmlformats.org/officeDocument/2006/relationships/header" Target="header7.xml"/><Relationship Id="rId15" Type="http://schemas.openxmlformats.org/officeDocument/2006/relationships/footer" Target="footer5.xml"/><Relationship Id="rId14" Type="http://schemas.openxmlformats.org/officeDocument/2006/relationships/header" Target="header6.xml"/><Relationship Id="rId130" Type="http://schemas.openxmlformats.org/officeDocument/2006/relationships/fontTable" Target="fontTable.xml"/><Relationship Id="rId13" Type="http://schemas.openxmlformats.org/officeDocument/2006/relationships/footer" Target="footer4.xml"/><Relationship Id="rId129" Type="http://schemas.openxmlformats.org/officeDocument/2006/relationships/customXml" Target="../customXml/item1.xml"/><Relationship Id="rId128" Type="http://schemas.openxmlformats.org/officeDocument/2006/relationships/theme" Target="theme/theme1.xml"/><Relationship Id="rId127" Type="http://schemas.openxmlformats.org/officeDocument/2006/relationships/footer" Target="footer65.xml"/><Relationship Id="rId126" Type="http://schemas.openxmlformats.org/officeDocument/2006/relationships/footer" Target="footer64.xml"/><Relationship Id="rId125" Type="http://schemas.openxmlformats.org/officeDocument/2006/relationships/footer" Target="footer63.xml"/><Relationship Id="rId124" Type="http://schemas.openxmlformats.org/officeDocument/2006/relationships/footer" Target="footer62.xml"/><Relationship Id="rId123" Type="http://schemas.openxmlformats.org/officeDocument/2006/relationships/header" Target="header58.xml"/><Relationship Id="rId122" Type="http://schemas.openxmlformats.org/officeDocument/2006/relationships/footer" Target="footer61.xml"/><Relationship Id="rId121" Type="http://schemas.openxmlformats.org/officeDocument/2006/relationships/header" Target="header57.xml"/><Relationship Id="rId120" Type="http://schemas.openxmlformats.org/officeDocument/2006/relationships/footer" Target="footer60.xml"/><Relationship Id="rId12" Type="http://schemas.openxmlformats.org/officeDocument/2006/relationships/header" Target="header5.xml"/><Relationship Id="rId119" Type="http://schemas.openxmlformats.org/officeDocument/2006/relationships/header" Target="header56.xml"/><Relationship Id="rId118" Type="http://schemas.openxmlformats.org/officeDocument/2006/relationships/footer" Target="footer59.xml"/><Relationship Id="rId117" Type="http://schemas.openxmlformats.org/officeDocument/2006/relationships/header" Target="header55.xml"/><Relationship Id="rId116" Type="http://schemas.openxmlformats.org/officeDocument/2006/relationships/footer" Target="footer58.xml"/><Relationship Id="rId115" Type="http://schemas.openxmlformats.org/officeDocument/2006/relationships/header" Target="header54.xml"/><Relationship Id="rId114" Type="http://schemas.openxmlformats.org/officeDocument/2006/relationships/footer" Target="footer57.xml"/><Relationship Id="rId113" Type="http://schemas.openxmlformats.org/officeDocument/2006/relationships/header" Target="header53.xml"/><Relationship Id="rId112" Type="http://schemas.openxmlformats.org/officeDocument/2006/relationships/footer" Target="footer56.xml"/><Relationship Id="rId111" Type="http://schemas.openxmlformats.org/officeDocument/2006/relationships/header" Target="header52.xml"/><Relationship Id="rId110" Type="http://schemas.openxmlformats.org/officeDocument/2006/relationships/footer" Target="footer55.xml"/><Relationship Id="rId11" Type="http://schemas.openxmlformats.org/officeDocument/2006/relationships/footer" Target="footer3.xml"/><Relationship Id="rId109" Type="http://schemas.openxmlformats.org/officeDocument/2006/relationships/header" Target="header51.xml"/><Relationship Id="rId108" Type="http://schemas.openxmlformats.org/officeDocument/2006/relationships/footer" Target="footer54.xml"/><Relationship Id="rId107" Type="http://schemas.openxmlformats.org/officeDocument/2006/relationships/header" Target="header50.xml"/><Relationship Id="rId106" Type="http://schemas.openxmlformats.org/officeDocument/2006/relationships/footer" Target="footer53.xml"/><Relationship Id="rId105" Type="http://schemas.openxmlformats.org/officeDocument/2006/relationships/header" Target="header49.xml"/><Relationship Id="rId104" Type="http://schemas.openxmlformats.org/officeDocument/2006/relationships/footer" Target="footer52.xml"/><Relationship Id="rId103" Type="http://schemas.openxmlformats.org/officeDocument/2006/relationships/header" Target="header48.xml"/><Relationship Id="rId102" Type="http://schemas.openxmlformats.org/officeDocument/2006/relationships/footer" Target="footer51.xml"/><Relationship Id="rId101" Type="http://schemas.openxmlformats.org/officeDocument/2006/relationships/header" Target="header47.xml"/><Relationship Id="rId100" Type="http://schemas.openxmlformats.org/officeDocument/2006/relationships/footer" Target="footer50.xml"/><Relationship Id="rId10" Type="http://schemas.openxmlformats.org/officeDocument/2006/relationships/footer" Target="footer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  <customShpInfo spid="_x0000_s4106"/>
    <customShpInfo spid="_x0000_s4107"/>
    <customShpInfo spid="_x0000_s4108"/>
    <customShpInfo spid="_x0000_s4109"/>
    <customShpInfo spid="_x0000_s4110"/>
    <customShpInfo spid="_x0000_s4111"/>
    <customShpInfo spid="_x0000_s4112"/>
    <customShpInfo spid="_x0000_s4113"/>
    <customShpInfo spid="_x0000_s4114"/>
    <customShpInfo spid="_x0000_s4115"/>
    <customShpInfo spid="_x0000_s4116"/>
    <customShpInfo spid="_x0000_s4117"/>
    <customShpInfo spid="_x0000_s4118"/>
    <customShpInfo spid="_x0000_s4119"/>
    <customShpInfo spid="_x0000_s4120"/>
    <customShpInfo spid="_x0000_s4121"/>
    <customShpInfo spid="_x0000_s4122"/>
    <customShpInfo spid="_x0000_s4123"/>
    <customShpInfo spid="_x0000_s4124"/>
    <customShpInfo spid="_x0000_s4125"/>
    <customShpInfo spid="_x0000_s4126"/>
    <customShpInfo spid="_x0000_s4127"/>
    <customShpInfo spid="_x0000_s4128"/>
    <customShpInfo spid="_x0000_s4129"/>
    <customShpInfo spid="_x0000_s4130"/>
    <customShpInfo spid="_x0000_s4131"/>
    <customShpInfo spid="_x0000_s4132"/>
    <customShpInfo spid="_x0000_s4133"/>
    <customShpInfo spid="_x0000_s4134"/>
    <customShpInfo spid="_x0000_s4135"/>
    <customShpInfo spid="_x0000_s4136"/>
    <customShpInfo spid="_x0000_s4137"/>
    <customShpInfo spid="_x0000_s4138"/>
    <customShpInfo spid="_x0000_s4139"/>
    <customShpInfo spid="_x0000_s4140"/>
    <customShpInfo spid="_x0000_s4141"/>
    <customShpInfo spid="_x0000_s4142"/>
    <customShpInfo spid="_x0000_s4143"/>
    <customShpInfo spid="_x0000_s4144"/>
    <customShpInfo spid="_x0000_s4145"/>
    <customShpInfo spid="_x0000_s4146"/>
    <customShpInfo spid="_x0000_s4147"/>
    <customShpInfo spid="_x0000_s4148"/>
    <customShpInfo spid="_x0000_s4149"/>
    <customShpInfo spid="_x0000_s4150"/>
    <customShpInfo spid="_x0000_s4151"/>
    <customShpInfo spid="_x0000_s4152"/>
    <customShpInfo spid="_x0000_s415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69</Pages>
  <Words>39841</Words>
  <Characters>40905</Characters>
  <TotalTime>2</TotalTime>
  <ScaleCrop>false</ScaleCrop>
  <LinksUpToDate>false</LinksUpToDate>
  <CharactersWithSpaces>43016</CharactersWithSpaces>
  <Application>WPS Office_11.8.2.12019_F1E327BC-269C-435d-A152-05C5408002CA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2024-09-19T10:01:00Z</dcterms:created>
  <dc:creator>Administrator</dc:creator>
  <cp:lastModifiedBy>kylin</cp:lastModifiedBy>
  <dcterms:modified xsi:type="dcterms:W3CDTF">2025-06-16T10:26:47Z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2024-09-18T15:39:22Z</vt:filetime>
  </property>
  <property fmtid="{D5CDD505-2E9C-101B-9397-08002B2CF9AE}" pid="4" name="KSOProductBuildVer">
    <vt:lpwstr>2052-11.8.2.12019</vt:lpwstr>
  </property>
  <property fmtid="{D5CDD505-2E9C-101B-9397-08002B2CF9AE}" pid="5" name="ICV">
    <vt:lpwstr>09C498CFDC8F4151A2677CF3E94144CB_12</vt:lpwstr>
  </property>
</Properties>
</file>